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Greenhouse Gas Emissions Trading Scheme (Amendment) Order 2026</w:t>
      </w:r>
    </w:p>
    <w:p>
      <w:r>
        <w:rPr>
          <w:sz w:val="20"/>
        </w:rPr>
        <w:t>3 February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Economy, Environment</w:t>
      </w:r>
    </w:p>
    <w:p>
      <w:r>
        <w:rPr>
          <w:b/>
        </w:rPr>
        <w:t xml:space="preserve">Topics: </w:t>
      </w:r>
      <w:r>
        <w:rPr>
          <w:sz w:val="20"/>
        </w:rPr>
        <w:t>carbon pricing, emissions trading scheme, greenhouse gas emissions trading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https://hansard.parliament.uk/Lords/2026-02-03/debates/7258BBF6-9CB3-4CE1-AC35-41E6C2E62E08/GreenhouseGasEmissionsTradingSchemeAmendmentOrder2026</w:t>
      </w:r>
    </w:p>
    <w:p/>
    <w:p>
      <w:r>
        <w:rPr>
          <w:b/>
          <w:color w:val="1A4A6E"/>
          <w:sz w:val="22"/>
        </w:rPr>
        <w:t>Lord Whitehead</w:t>
      </w:r>
    </w:p>
    <w:p>
      <w:r>
        <w:rPr>
          <w:sz w:val="22"/>
        </w:rPr>
        <w:t>That the draft Order laid before the House on 16 December 2025 be approved. Relevant document: 47th Report from the Secondary Legislation Scrutiny Committee. Considered in Grand Committee on 28 January.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