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Greenhouse Gas Emissions Trading Scheme (Amendment) Order 2026</w:t>
      </w:r>
    </w:p>
    <w:p>
      <w:r>
        <w:rPr>
          <w:sz w:val="20"/>
        </w:rPr>
        <w:t>3 February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Environment</w:t>
      </w:r>
    </w:p>
    <w:p>
      <w:r>
        <w:rPr>
          <w:b/>
        </w:rPr>
        <w:t xml:space="preserve">Topics: </w:t>
      </w:r>
      <w:r>
        <w:rPr>
          <w:sz w:val="20"/>
        </w:rPr>
        <w:t>carbon pricing, emissions trading scheme, greenhouse gas emissions trading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https://hansard.parliament.uk/Lords/2026-02-03/debates/7258BBF6-9CB3-4CE1-AC35-41E6C2E62E08/GreenhouseGasEmissionsTradingSchemeAmendmentOrder2026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Order laid before the House on 16 December 2025 be approved. Relevant document: 47th Report from the Secondary Legislation Scrutiny Committee. Considered in Grand Committee on 28 January.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