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 Opportunities: Rural Areas</w:t>
      </w:r>
    </w:p>
    <w:p>
      <w:r>
        <w:rPr>
          <w:sz w:val="20"/>
        </w:rPr>
        <w:t>29 June 2026  ·  Commons  ·  Oral Questions</w:t>
      </w:r>
    </w:p>
    <w:p>
      <w:r>
        <w:rPr>
          <w:b/>
        </w:rPr>
        <w:t xml:space="preserve">Policy areas: </w:t>
      </w:r>
      <w:r>
        <w:rPr>
          <w:sz w:val="20"/>
        </w:rPr>
        <w:t>Economy, Employment and labour market, Welfare and benefits</w:t>
      </w:r>
    </w:p>
    <w:p>
      <w:r>
        <w:rPr>
          <w:b/>
        </w:rPr>
        <w:t xml:space="preserve">Topics: </w:t>
      </w:r>
      <w:r>
        <w:rPr>
          <w:sz w:val="20"/>
        </w:rPr>
        <w:t>economic inactivity, employment rate trends, jobs and careers service, rural job opportunities, rural unemployment</w:t>
      </w:r>
    </w:p>
    <w:p>
      <w:r>
        <w:rPr>
          <w:b/>
        </w:rPr>
        <w:t xml:space="preserve">Source: </w:t>
      </w:r>
      <w:r>
        <w:rPr>
          <w:sz w:val="20"/>
        </w:rPr>
        <w:t>https://hansard.parliament.uk/Commons/2026-06-29/debates/FAB9F2B8-0697-4F98-A526-8DA3CE0DDF65/JobOpportunitiesRuralAreas</w:t>
      </w:r>
    </w:p>
    <w:p/>
    <w:p>
      <w:r>
        <w:rPr>
          <w:b/>
          <w:color w:val="1A4A6E"/>
          <w:sz w:val="22"/>
        </w:rPr>
        <w:t>Bradley Thomas (Con)</w:t>
      </w:r>
    </w:p>
    <w:p>
      <w:r>
        <w:rPr>
          <w:sz w:val="22"/>
        </w:rPr>
        <w:t>2. What recent assessment he has made of trends in the level of job opportunities in rural areas.</w:t>
      </w:r>
    </w:p>
    <w:p/>
    <w:p>
      <w:r>
        <w:rPr>
          <w:b/>
          <w:color w:val="1A4A6E"/>
          <w:sz w:val="22"/>
        </w:rPr>
        <w:t>Dame Diana Johnson (The Minister for Employment)</w:t>
      </w:r>
    </w:p>
    <w:p>
      <w:r>
        <w:rPr>
          <w:sz w:val="22"/>
        </w:rPr>
        <w:t>The employment rate is 78.4% in rural areas, compared with 74.8% in urban areas, with job opportunities in agriculture, forestry, fishing, and scientific and technical sectors. Under this Government, economic inactivity among people aged 16 and over in rural areas has fallen by 0.8%, and through the new jobs and careers service we are providing more outreach in rural areas, including jobcentre vans, bringing employment support directly into rural communities.</w:t>
      </w:r>
    </w:p>
    <w:p/>
    <w:p>
      <w:r>
        <w:rPr>
          <w:b/>
          <w:color w:val="1A4A6E"/>
          <w:sz w:val="22"/>
        </w:rPr>
        <w:t>Bradley Thomas</w:t>
      </w:r>
    </w:p>
    <w:p>
      <w:r>
        <w:rPr>
          <w:sz w:val="22"/>
        </w:rPr>
        <w:t>The picture that the Minister paints is not one that I recognise, and it is not one recognised by businesses in my constituency. Rural job opportunities have gone down, rural unemployment is up, and businesses routinely tell me that the increased cost of employment under this Government has directly contributed to their inability to continue recruiting. Does the Minister recognise that? Will she impart on the next Prime Minister the importance of a change of course?</w:t>
      </w:r>
    </w:p>
    <w:p/>
    <w:p>
      <w:r>
        <w:rPr>
          <w:b/>
          <w:color w:val="1A4A6E"/>
          <w:sz w:val="22"/>
        </w:rPr>
        <w:t>Dame Diana Johnson</w:t>
      </w:r>
    </w:p>
    <w:p>
      <w:r>
        <w:rPr>
          <w:sz w:val="22"/>
        </w:rPr>
        <w:t>The question was about rural areas. It might be interesting and helpful for the hon. Member to reflect how under the last Government the number of jobs in agriculture—a key sector in rural areas—fell by 50,000 while under this Government it has risen by 5,000.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