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w:t>
      </w:r>
    </w:p>
    <w:p>
      <w:r>
        <w:rPr>
          <w:sz w:val="20"/>
        </w:rPr>
        <w:t>29 June 2026  ·  Commons  ·  Oral Questions</w:t>
      </w:r>
    </w:p>
    <w:p>
      <w:r>
        <w:rPr>
          <w:b/>
        </w:rPr>
        <w:t xml:space="preserve">Policy areas: </w:t>
      </w:r>
      <w:r>
        <w:rPr>
          <w:sz w:val="20"/>
        </w:rPr>
        <w:t>Children and families, Economy, Finance and taxation, Welfare and benefits</w:t>
      </w:r>
    </w:p>
    <w:p>
      <w:r>
        <w:rPr>
          <w:b/>
        </w:rPr>
        <w:t xml:space="preserve">Topics: </w:t>
      </w:r>
      <w:r>
        <w:rPr>
          <w:sz w:val="20"/>
        </w:rPr>
        <w:t>child poverty reduction, free school meals, gambling taxation levy, hidden deprivation pockets, two-child limit removal</w:t>
      </w:r>
    </w:p>
    <w:p>
      <w:r>
        <w:rPr>
          <w:b/>
        </w:rPr>
        <w:t xml:space="preserve">Source: </w:t>
      </w:r>
      <w:r>
        <w:rPr>
          <w:sz w:val="20"/>
        </w:rPr>
        <w:t>https://hansard.parliament.uk/Commons/2026-06-29/debates/416368B5-71E9-4B8E-8CC4-DA77AC0FDC48/ChildPoverty</w:t>
      </w:r>
    </w:p>
    <w:p/>
    <w:p>
      <w:r>
        <w:rPr>
          <w:b/>
          <w:color w:val="1A4A6E"/>
          <w:sz w:val="22"/>
        </w:rPr>
        <w:t>Rachael Maskell (Lab/Co-op)</w:t>
      </w:r>
    </w:p>
    <w:p>
      <w:r>
        <w:rPr>
          <w:sz w:val="22"/>
        </w:rPr>
        <w:t>11. What progress he has made on reducing levels of child poverty.</w:t>
      </w:r>
    </w:p>
    <w:p/>
    <w:p>
      <w:r>
        <w:rPr>
          <w:b/>
          <w:color w:val="1A4A6E"/>
          <w:sz w:val="22"/>
        </w:rPr>
        <w:t>Dame Diana Johnson (The Minister for Employment)</w:t>
      </w:r>
    </w:p>
    <w:p>
      <w:r>
        <w:rPr>
          <w:sz w:val="22"/>
        </w:rPr>
        <w:t>I thank my hon. Friend for her interest in this area. Through our child poverty strategy, we are already taking substantial action, including the expansion of free school meals eligibility, the removal of the two-child limit and the introduction of the £1 billion crisis and resilience fund. Actions in the strategy will lift 550,000 children out of poverty in ’29-30, and the removal of the two-child limit could benefit around 1,650 children in York Central.</w:t>
      </w:r>
    </w:p>
    <w:p/>
    <w:p>
      <w:r>
        <w:rPr>
          <w:b/>
          <w:color w:val="1A4A6E"/>
          <w:sz w:val="22"/>
        </w:rPr>
        <w:t>Rachael Maskell</w:t>
      </w:r>
    </w:p>
    <w:p>
      <w:r>
        <w:rPr>
          <w:sz w:val="22"/>
        </w:rPr>
        <w:t>Lifting children out of poverty will be this Government’s greatest legacy. However, we know that around 4 million children will remain in poverty, so it is really important to go further. Last year, the former Prime Minister Gordon Brown suggested a levy on the gambling and betting industry to raise £3 billion and lift another 500,000 children out of poverty. Will the Minister ensure we do even more so that we have a greater legacy and ensure that the lives of those young people are changed forever because of the decisions of this Government?</w:t>
      </w:r>
    </w:p>
    <w:p/>
    <w:p>
      <w:r>
        <w:rPr>
          <w:b/>
          <w:color w:val="1A4A6E"/>
          <w:sz w:val="22"/>
        </w:rPr>
        <w:t>Dame Diana Johnson</w:t>
      </w:r>
    </w:p>
    <w:p>
      <w:r>
        <w:rPr>
          <w:sz w:val="22"/>
        </w:rPr>
        <w:t>Like my hon. Friend, I am very proud of what the child poverty strategy will deliver. It may be worth reflecting on what the Chancellor said about child poverty at the end of last year in the Budget. She said that</w:t>
      </w:r>
    </w:p>
    <w:p>
      <w:r>
        <w:rPr>
          <w:sz w:val="22"/>
        </w:rPr>
        <w:t>“because I am tackling fraud and error in our welfare system, cracking down on tax avoidance and reforming gambling taxation, I can announce today, fully costed and fully funded, the removal of the two-child limit in full from April.” —[Official Report, 26 November 2025; Vol. 776, c. 397.]</w:t>
      </w:r>
    </w:p>
    <w:p>
      <w:r>
        <w:rPr>
          <w:sz w:val="22"/>
        </w:rPr>
        <w:t>I hope that reassures my hon. Friend that that was taken into account in the decisions taken by the Chancellor.</w:t>
      </w:r>
    </w:p>
    <w:p/>
    <w:p>
      <w:r>
        <w:rPr>
          <w:b/>
          <w:color w:val="1A4A6E"/>
          <w:sz w:val="22"/>
        </w:rPr>
        <w:t>Zöe Franklin (LD)</w:t>
      </w:r>
    </w:p>
    <w:p>
      <w:r>
        <w:rPr>
          <w:sz w:val="22"/>
        </w:rPr>
        <w:t>It was interesting to hear the Minister’s comments in relation to the last question. In assessing progress on reducing levels of child poverty, what assessment has been made of hidden pockets of deprivation in places such as my own constituency? Overall child poverty in Guildford after housing costs is 13.2%, but in some of the neighbourhoods in my constituency, including the one where I was previously a councillor, that number rises to 50%. I continue to find that deeply shocking, and it presents very specific challenges in areas such as mine. What steps are the Government taking to ensure that children living in these pockets are not overlooked by their own policy?</w:t>
      </w:r>
    </w:p>
    <w:p/>
    <w:p>
      <w:r>
        <w:rPr>
          <w:b/>
          <w:color w:val="1A4A6E"/>
          <w:sz w:val="22"/>
        </w:rPr>
        <w:t>Dame Diana Johnson</w:t>
      </w:r>
    </w:p>
    <w:p>
      <w:r>
        <w:rPr>
          <w:sz w:val="22"/>
        </w:rPr>
        <w:t>The hon. Lady raises a very important point. The child poverty strategy is a 10-year strategy. We are very clear that, as Ministers across Government, we need to be looking at all areas of what Government can do to address child poverty, and there is a key measure around deep material poverty that we need to look at. It is really important that we work with local councils, combined authorities and mayors, because there is some really good work going on in local areas to address those pockets, which might be missed in the overall picture. Local areas are very well aware of where more work needs to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