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29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https://hansard.parliament.uk/Lords/2026-06-29/debates/4058A7EC-C0E2-41D6-88A4-50EFE7CB8534/ArrangementOfBusiness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Good afternoon, my Lords. If there is a Division in the Chamber while we are sitting, this Committee will adjourn as soon as the Division Bells are rung and resume after 10 minutes.</w:t>
      </w:r>
    </w:p>
    <w:p/>
    <w:p>
      <w:r>
        <w:rPr>
          <w:b/>
          <w:color w:val="1A4A6E"/>
          <w:sz w:val="22"/>
        </w:rPr>
        <w:t>Lord in Waiting/Government Whip (Lab)</w:t>
      </w:r>
    </w:p>
    <w:p>
      <w:r>
        <w:rPr>
          <w:sz w:val="22"/>
        </w:rPr>
        <w:t>Before we start to debate the first group, I remind the Committee of the rules on declaring interests. Noble Lords should declare any relevant financial interest the first time they speak at each stage of a Bill. This means that, in Committee, a relevant financial interest should be declared during the first group on which a noble Lord speaks. Thereafter, the declaration does not need to be repeated in debate on later groups at this stage. Declarations should be specific and brief: Members should briefly indicate the nature of their financial interest and not simply refer to their entry in the Register of Lords’ Interests.</w:t>
      </w:r>
    </w:p>
    <w:p>
      <w:r>
        <w:rPr>
          <w:sz w:val="22"/>
        </w:rPr>
        <w:t>I also remind noble Lords of the guidance in the Companion at paragraph 8.82:</w:t>
      </w:r>
    </w:p>
    <w:p>
      <w:r>
        <w:rPr>
          <w:sz w:val="22"/>
        </w:rPr>
        <w:t>“when withdrawing amendments, noble Lords should be brief and need not respond to all the points made during the debate.”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