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Medical Devices (Fees Amendment) Regulations 2026</w:t>
      </w:r>
    </w:p>
    <w:p>
      <w:r>
        <w:rPr>
          <w:sz w:val="20"/>
        </w:rPr>
        <w:t>29 January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Finance and taxation, Health and social care</w:t>
      </w:r>
    </w:p>
    <w:p>
      <w:r>
        <w:rPr>
          <w:b/>
        </w:rPr>
        <w:t xml:space="preserve">Topics: </w:t>
      </w:r>
      <w:r>
        <w:rPr>
          <w:sz w:val="20"/>
        </w:rPr>
        <w:t>fees amendment, medical device regulation, regulatory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https://hansard.parliament.uk/Lords/2026-01-29/debates/23B54802-3301-42AD-AFF8-6E7561545A26/MedicalDevicesFeesAmendmentRegulations2026</w:t>
      </w:r>
    </w:p>
    <w:p/>
    <w:p>
      <w:r>
        <w:rPr>
          <w:b/>
          <w:color w:val="1A4A6E"/>
          <w:sz w:val="22"/>
        </w:rPr>
        <w:t>Baroness Merron</w:t>
      </w:r>
    </w:p>
    <w:p>
      <w:r>
        <w:rPr>
          <w:sz w:val="22"/>
        </w:rPr>
        <w:t>That the draft Regulations laid before the House on 16 December 2025 be approved. Considered in Grand Committee on 28 January.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