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Baroness Meacher</w:t>
      </w:r>
    </w:p>
    <w:p>
      <w:r>
        <w:rPr>
          <w:sz w:val="20"/>
        </w:rPr>
        <w:t>28 October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https://hansard.parliament.uk/Lords/2025-10-28/debates/0873EA94-6B6D-4661-BCAB-7C075C77347C/RetirementOfAMemberBaronessMeacher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should like to notify the House of the retirement with effect from 28 October of the noble Baroness, Lady Meacher, pursuant to Section 1 of the House of Lords Reform Act 2014. On behalf of the House, I thank the noble Baroness for her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