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Private International Law (Implementation of Agreements) Act 2020 (Extension of Operative Period) Regulations 2025</w:t>
      </w:r>
    </w:p>
    <w:p>
      <w:r>
        <w:rPr>
          <w:sz w:val="20"/>
        </w:rPr>
        <w:t>28 October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Crime, justice and law, Economy, Finance and taxation, Foreign affairs and diplomacy, Trade</w:t>
      </w:r>
    </w:p>
    <w:p>
      <w:r>
        <w:rPr>
          <w:b/>
        </w:rPr>
        <w:t xml:space="preserve">Topics: </w:t>
      </w:r>
      <w:r>
        <w:rPr>
          <w:sz w:val="20"/>
        </w:rPr>
        <w:t>agreements extension, draft regulations approval, implementation of agreements, operative period extension, operative period regulations, private international law, secondary legislation scrutiny,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https://hansard.parliament.uk/Lords/2025-10-28/debates/AD1B412D-30C3-4A10-BC80-207E3DC61AE5/PrivateInternationalLawImplementationOfAgreementsAct2020ExtensionOfOperativePeriodRegulations2025</w:t>
      </w:r>
    </w:p>
    <w:p/>
    <w:p>
      <w:r>
        <w:rPr>
          <w:b/>
          <w:color w:val="1A4A6E"/>
          <w:sz w:val="22"/>
        </w:rPr>
        <w:t>Baroness Levitt</w:t>
      </w:r>
    </w:p>
    <w:p>
      <w:r>
        <w:rPr>
          <w:sz w:val="22"/>
        </w:rPr>
        <w:t>That the draft Regulations laid before the House on 2 September be approved. Relevant document: 36th Report from the Secondary Legislation Scrutiny Committee. Considered in Grand Committee on 21 October.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