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Warm Home Discount (Scotland) Regulations 2026</w:t>
      </w:r>
    </w:p>
    <w:p>
      <w:r>
        <w:rPr>
          <w:sz w:val="20"/>
        </w:rPr>
        <w:t>28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Economy, Energy, Welfare and benefits</w:t>
      </w:r>
    </w:p>
    <w:p>
      <w:r>
        <w:rPr>
          <w:b/>
        </w:rPr>
        <w:t xml:space="preserve">Topics: </w:t>
      </w:r>
      <w:r>
        <w:rPr>
          <w:sz w:val="20"/>
        </w:rPr>
        <w:t>energy bill support, fuel poverty, low income households, scottish households, warm home discount scheme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https://hansard.parliament.uk/Lords/2026-04-28/debates/D1BC9A5C-3E97-4891-9609-F03D9A2DCC5D/WarmHomeDiscountScotlandRegulations2026</w:t>
      </w:r>
    </w:p>
    <w:p/>
    <w:p>
      <w:r>
        <w:rPr>
          <w:b/>
          <w:color w:val="1A4A6E"/>
          <w:sz w:val="22"/>
        </w:rPr>
        <w:t>Lord Whitehead</w:t>
      </w:r>
    </w:p>
    <w:p>
      <w:r>
        <w:rPr>
          <w:sz w:val="22"/>
        </w:rPr>
        <w:t>That the draft Regulations laid before the House on 17 March be approved. Considered in Grand Committee on 27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