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Bank Usage: Hornsey and Friern Barnet</w:t>
      </w:r>
    </w:p>
    <w:p>
      <w:r>
        <w:rPr>
          <w:sz w:val="20"/>
        </w:rPr>
        <w:t>28 April 2026  ·  Commons  ·  Oral Questions</w:t>
      </w:r>
    </w:p>
    <w:p>
      <w:r>
        <w:rPr>
          <w:b/>
        </w:rPr>
        <w:t xml:space="preserve">Policy areas: </w:t>
      </w:r>
      <w:r>
        <w:rPr>
          <w:sz w:val="20"/>
        </w:rPr>
        <w:t>Children and families, Economy, Housing and planning, Welfare and benefits</w:t>
      </w:r>
    </w:p>
    <w:p>
      <w:r>
        <w:rPr>
          <w:b/>
        </w:rPr>
        <w:t xml:space="preserve">Topics: </w:t>
      </w:r>
      <w:r>
        <w:rPr>
          <w:sz w:val="20"/>
        </w:rPr>
        <w:t>child poverty reduction, food bank usage, free school meals, housing support, rental costs</w:t>
      </w:r>
    </w:p>
    <w:p>
      <w:r>
        <w:rPr>
          <w:b/>
        </w:rPr>
        <w:t xml:space="preserve">Source: </w:t>
      </w:r>
      <w:r>
        <w:rPr>
          <w:sz w:val="20"/>
        </w:rPr>
        <w:t>https://hansard.parliament.uk/Commons/2026-04-28/debates/D4825A61-E564-4756-8985-51BD9F8CBBB8/FoodBankUsageHornseyAndFriernBarnet</w:t>
      </w:r>
    </w:p>
    <w:p/>
    <w:p>
      <w:r>
        <w:rPr>
          <w:b/>
          <w:color w:val="1A4A6E"/>
          <w:sz w:val="22"/>
        </w:rPr>
        <w:t>Catherine West (Lab)</w:t>
      </w:r>
    </w:p>
    <w:p>
      <w:r>
        <w:rPr>
          <w:sz w:val="22"/>
        </w:rPr>
        <w:t>1. What fiscal steps she is taking to help reduce the level of food bank usage by families in Hornsey and Friern Barnet constituency.</w:t>
      </w:r>
    </w:p>
    <w:p/>
    <w:p>
      <w:r>
        <w:rPr>
          <w:b/>
          <w:color w:val="1A4A6E"/>
          <w:sz w:val="22"/>
        </w:rPr>
        <w:t>Torsten Bell (The Parliamentary Secretary to the Treasury)</w:t>
      </w:r>
    </w:p>
    <w:p>
      <w:r>
        <w:rPr>
          <w:sz w:val="22"/>
        </w:rPr>
        <w:t>The rise in food banks across Britain is among the most visible signs that, under the last Government, ours was a country in which growth was too low and inequality was too high. This Government are committed to ending the mass dependence on emergency food parcels. We have expanded free school meals to children in all families receiving universal credit, and we have removed the two-child limit to lift around half a million children out of poverty. Britain is now on course for the biggest reduction in child poverty of any Parliament on record, and charities such as Trussell believe that will significantly reduce demand for food banks.</w:t>
      </w:r>
    </w:p>
    <w:p/>
    <w:p>
      <w:r>
        <w:rPr>
          <w:b/>
          <w:color w:val="1A4A6E"/>
          <w:sz w:val="22"/>
        </w:rPr>
        <w:t>Catherine West</w:t>
      </w:r>
    </w:p>
    <w:p>
      <w:r>
        <w:rPr>
          <w:sz w:val="22"/>
        </w:rPr>
        <w:t>It is indeed a very exciting development to see the bold and vital steps taken to address child poverty, but runaway rental costs are driving hunger and hardship. Building council homes is obviously the right long-term approach, and Haringey council is the second biggest builder of council homes in the whole country. Will the Treasury team now help struggling families by lifting the freeze on local housing allowance so that there is a permanent link between rents and support?</w:t>
      </w:r>
    </w:p>
    <w:p/>
    <w:p>
      <w:r>
        <w:rPr>
          <w:b/>
          <w:color w:val="1A4A6E"/>
          <w:sz w:val="22"/>
        </w:rPr>
        <w:t>Torsten Bell</w:t>
      </w:r>
    </w:p>
    <w:p>
      <w:r>
        <w:rPr>
          <w:sz w:val="22"/>
        </w:rPr>
        <w:t>My hon. Friend is absolutely right. Food bank use has fallen in recent years, but it is still far too high, including in her constituency. It is part of a wider challenge that the cost of essentials places too much pressure on household finances.</w:t>
      </w:r>
    </w:p>
    <w:p>
      <w:r>
        <w:rPr>
          <w:sz w:val="22"/>
        </w:rPr>
        <w:t>The Department for Work and Pensions spends around £37 billion a year on housing support, but in the long run, the answer to high housing costs is to build more homes. That is what we are doing through the £39 billion social and affordable homes programme, but we also need to protect tenants in the here and now, and the Renters’ Rights Act 2025 comes into force just next week. Among other things, it will allow tenants to appeal excessive, above-market rents.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