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First-tier Tribunal (Property Chamber) Fees (Amendment) Order 2026</w:t>
      </w:r>
    </w:p>
    <w:p>
      <w:r>
        <w:rPr>
          <w:sz w:val="20"/>
        </w:rPr>
        <w:t>28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Housing and planning</w:t>
      </w:r>
    </w:p>
    <w:p>
      <w:r>
        <w:rPr>
          <w:b/>
        </w:rPr>
        <w:t xml:space="preserve">Topics: </w:t>
      </w:r>
      <w:r>
        <w:rPr>
          <w:sz w:val="20"/>
        </w:rPr>
        <w:t>amendment order, first-tier tribunal fees, property chamber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https://hansard.parliament.uk/Lords/2026-04-28/debates/B3003219-C9AB-4E87-9E49-BF85B887F25E/FirsttierTribunalPropertyChamberFeesAmendmentOrder2026</w:t>
      </w:r>
    </w:p>
    <w:p/>
    <w:p>
      <w:r>
        <w:rPr>
          <w:b/>
          <w:color w:val="1A4A6E"/>
          <w:sz w:val="22"/>
        </w:rPr>
        <w:t>Baroness Levitt</w:t>
      </w:r>
    </w:p>
    <w:p>
      <w:r>
        <w:rPr>
          <w:sz w:val="22"/>
        </w:rPr>
        <w:t>That the draft Order laid before the House on 19 March be approved. Relevant document: 57th Report from the Secondary Legislation Scrutiny Committee. Considered in Grand Committee on 27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