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Control of Trade in Endangered Species (Amendment and Revocation) Regulations 2026</w:t>
      </w:r>
    </w:p>
    <w:p>
      <w:r>
        <w:rPr>
          <w:sz w:val="20"/>
        </w:rPr>
        <w:t>28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Environment, Trade</w:t>
      </w:r>
    </w:p>
    <w:p>
      <w:r>
        <w:rPr>
          <w:b/>
        </w:rPr>
        <w:t xml:space="preserve">Topics: </w:t>
      </w:r>
      <w:r>
        <w:rPr>
          <w:sz w:val="20"/>
        </w:rPr>
        <w:t>cites convention, endangered species trade, wildlife protection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https://hansard.parliament.uk/Lords/2026-04-28/debates/C43A73CF-C29C-464E-942C-7F267A2B47B0/ControlOfTradeInEndangeredSpeciesAmendmentAndRevocationRegulations2026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19 March be approved. Considered in Grand Committee on 27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