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Control of Trade in Endangered Species (Amendment and Revocation) Regulations 2026</w:t>
      </w:r>
    </w:p>
    <w:p>
      <w:r>
        <w:rPr>
          <w:sz w:val="20"/>
        </w:rPr>
        <w:t>28 April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Environment, Trade</w:t>
      </w:r>
    </w:p>
    <w:p>
      <w:r>
        <w:rPr>
          <w:b/>
        </w:rPr>
        <w:t xml:space="preserve">Topics: </w:t>
      </w:r>
      <w:r>
        <w:rPr>
          <w:sz w:val="20"/>
        </w:rPr>
        <w:t>cites convention, endangered species trade, wildlife protection regulations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https://hansard.parliament.uk/Lords/2026-04-28/debates/C43A73CF-C29C-464E-942C-7F267A2B47B0/ControlOfTradeInEndangeredSpeciesAmendmentAndRevocationRegulations2026</w:t>
      </w:r>
    </w:p>
    <w:p/>
    <w:p>
      <w:r>
        <w:rPr>
          <w:b/>
          <w:color w:val="1A4A6E"/>
          <w:sz w:val="22"/>
        </w:rPr>
        <w:t>Baroness Hayman of Ullock</w:t>
      </w:r>
    </w:p>
    <w:p>
      <w:r>
        <w:rPr>
          <w:sz w:val="22"/>
        </w:rPr>
        <w:t>That the draft Regulations laid before the House on 19 March be approved. Considered in Grand Committee on 27 April.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