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Built Environment Committee</w:t>
      </w:r>
    </w:p>
    <w:p>
      <w:r>
        <w:rPr>
          <w:sz w:val="20"/>
        </w:rPr>
        <w:t>27 January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https://hansard.parliament.uk/Lords/2026-01-27/debates/089D4C35-0865-428E-B257-3D54E42E3D8C/BuiltEnvironmentCommittee</w:t>
      </w:r>
    </w:p>
    <w:p/>
    <w:p>
      <w:r>
        <w:rPr>
          <w:b/>
          <w:color w:val="1A4A6E"/>
          <w:sz w:val="22"/>
        </w:rPr>
        <w:t>Lord Gardiner of Kimble (The Senior Deputy Speaker)</w:t>
      </w:r>
    </w:p>
    <w:p>
      <w:r>
        <w:rPr>
          <w:sz w:val="22"/>
        </w:rPr>
        <w:t>My Lords, these 29 Motions give effect to the rotation rule that is applied each January, following the recent meeting of the Committee of Selection, to secure a regular turnover of Select Committee membership. They also appoint and establish the membership of the 2026 special inquiry committees. I take this opportunity to thank noble Lords who are rotating off committees for their commitment and dedication, and welcome those noble Lords who will be joining the hard-working committees of the House. I beg to move.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