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Child Maintenance Service</w:t>
      </w:r>
    </w:p>
    <w:p>
      <w:r>
        <w:rPr>
          <w:sz w:val="20"/>
        </w:rPr>
        <w:t>27 April 2026  ·  Commons  ·  Oral Questions</w:t>
      </w:r>
    </w:p>
    <w:p>
      <w:r>
        <w:rPr>
          <w:b/>
        </w:rPr>
        <w:t xml:space="preserve">Policy areas: </w:t>
      </w:r>
      <w:r>
        <w:rPr>
          <w:sz w:val="20"/>
        </w:rPr>
        <w:t>Children and families, Welfare and benefits</w:t>
      </w:r>
    </w:p>
    <w:p>
      <w:r>
        <w:rPr>
          <w:b/>
        </w:rPr>
        <w:t xml:space="preserve">Topics: </w:t>
      </w:r>
      <w:r>
        <w:rPr>
          <w:sz w:val="20"/>
        </w:rPr>
        <w:t>child maintenance service, enforcement of payments, financial hardship, payment delays, shared care disputes</w:t>
      </w:r>
    </w:p>
    <w:p>
      <w:r>
        <w:rPr>
          <w:b/>
        </w:rPr>
        <w:t xml:space="preserve">Source: </w:t>
      </w:r>
      <w:r>
        <w:rPr>
          <w:sz w:val="20"/>
        </w:rPr>
        <w:t>https://hansard.parliament.uk/Commons/2026-04-27/debates/1BE7F363-DC57-4FB4-BC9B-8B4D88C447C1/ChildMaintenanceService</w:t>
      </w:r>
    </w:p>
    <w:p/>
    <w:p>
      <w:r>
        <w:rPr>
          <w:b/>
          <w:color w:val="1A4A6E"/>
          <w:sz w:val="22"/>
        </w:rPr>
        <w:t>Iqbal Mohamed (Ind)</w:t>
      </w:r>
    </w:p>
    <w:p>
      <w:r>
        <w:rPr>
          <w:sz w:val="22"/>
        </w:rPr>
        <w:t>5. What assessment he has made of the effectiveness of the Child Maintenance Service in resolving cases in a timely manner.</w:t>
      </w:r>
    </w:p>
    <w:p/>
    <w:p>
      <w:r>
        <w:rPr>
          <w:b/>
          <w:color w:val="1A4A6E"/>
          <w:sz w:val="22"/>
        </w:rPr>
        <w:t>Andrew Western (The Parliamentary Under-Secretary of State for Work and Pensions)</w:t>
      </w:r>
    </w:p>
    <w:p>
      <w:r>
        <w:rPr>
          <w:sz w:val="22"/>
        </w:rPr>
        <w:t>The CMS publishes several metrics regarding how quickly it responds to parents. In the quarter ending September 2025, on average, 96% of applications were cleared within 12 weeks and 83% of changes of circumstances were cleared within 28 days. Those are targets for the CMS set by the Department.</w:t>
      </w:r>
    </w:p>
    <w:p/>
    <w:p>
      <w:r>
        <w:rPr>
          <w:b/>
          <w:color w:val="1A4A6E"/>
          <w:sz w:val="22"/>
        </w:rPr>
        <w:t>Iqbal Mohamed</w:t>
      </w:r>
    </w:p>
    <w:p>
      <w:r>
        <w:rPr>
          <w:sz w:val="22"/>
        </w:rPr>
        <w:t>I have constituents with court orders confirming genuinely shared care who are none the less required to pay full child maintenance for extended periods while disputes are resolved and/or system processes are completed. How does the Department ensure that evidence of shared care is applied consistently, fairly and speedily by the CMS? What support is available to constituents who face continued financial liability and hardship while they wait for delays in CMS decisions or tribunal outcomes to be resolved?</w:t>
      </w:r>
    </w:p>
    <w:p/>
    <w:p>
      <w:r>
        <w:rPr>
          <w:b/>
          <w:color w:val="1A4A6E"/>
          <w:sz w:val="22"/>
        </w:rPr>
        <w:t>Andrew Western</w:t>
      </w:r>
    </w:p>
    <w:p>
      <w:r>
        <w:rPr>
          <w:sz w:val="22"/>
        </w:rPr>
        <w:t>Shared care can be incredibly contested, and questions about the suitability of evidence and which evidence takes precedent are often disputed. The hon. Member suggests that he has particular cases that he would like the Department to take a look into. If he writes to me with them, the responsible Minister, my noble Friend Baroness Sherlock, or I will provide a response.</w:t>
      </w:r>
    </w:p>
    <w:p/>
    <w:p>
      <w:r>
        <w:rPr>
          <w:b/>
          <w:color w:val="1A4A6E"/>
          <w:sz w:val="22"/>
        </w:rPr>
        <w:t>Luke Charters (Lab)</w:t>
      </w:r>
    </w:p>
    <w:p>
      <w:r>
        <w:rPr>
          <w:sz w:val="22"/>
        </w:rPr>
        <w:t>The Government’s planned major changes to CMS payments are welcome, but my casework inbox is inundated—absolutely chock-a-block—with complaints about the CMS’s poor customer service, which is damaging the lives of dozens of my constituents in the process. What steps can my hon. Friend take to rapidly improve the effectiveness of the CMS?</w:t>
      </w:r>
    </w:p>
    <w:p/>
    <w:p>
      <w:r>
        <w:rPr>
          <w:b/>
          <w:color w:val="1A4A6E"/>
          <w:sz w:val="22"/>
        </w:rPr>
        <w:t>Andrew Western</w:t>
      </w:r>
    </w:p>
    <w:p>
      <w:r>
        <w:rPr>
          <w:sz w:val="22"/>
        </w:rPr>
        <w:t>My hon. Friend will be pleased to know that there is a significant improvement journey under way in the Child Maintenance Service. I am always keen to point out to Members that while we see a large number of CMS cases in our caseload due to the more adversarial nature of the cases it deals with, it is a fraction of the overall number of cases that the Department deals with. We continue to ensure prompt payments to more than a million children.</w:t>
      </w:r>
    </w:p>
    <w:p/>
    <w:p>
      <w:r>
        <w:rPr>
          <w:b/>
          <w:color w:val="1A4A6E"/>
          <w:sz w:val="22"/>
        </w:rPr>
        <w:t>Liz Jarvis (LD)</w:t>
      </w:r>
    </w:p>
    <w:p>
      <w:r>
        <w:rPr>
          <w:sz w:val="22"/>
        </w:rPr>
        <w:t>My office deals with hundreds of Child Maintenance Service cases. In one case, a mum applied to the CMS in June last year and was initially awarded just over £100. She applied for a mandatory reconsideration and the figure was increased. However, the increased payments have still not been made, and she is experiencing significant financial hardship and stress as a result. Has the Minister considered how failings in the service facilitate post-separation abuse?</w:t>
      </w:r>
    </w:p>
    <w:p/>
    <w:p>
      <w:r>
        <w:rPr>
          <w:b/>
          <w:color w:val="1A4A6E"/>
          <w:sz w:val="22"/>
        </w:rPr>
        <w:t>Andrew Western</w:t>
      </w:r>
    </w:p>
    <w:p>
      <w:r>
        <w:rPr>
          <w:sz w:val="22"/>
        </w:rPr>
        <w:t>My noble Friend Baroness Sherlock takes a very keen interest in this issue, in particular how we can look at the abolition of direct pay to subvert some of the instances of financial abuse and coercive control that we continue to see. If the hon. Lady would like to write to me about her specific case, I will ensure she receives a response.</w:t>
      </w:r>
    </w:p>
    <w:p/>
    <w:p>
      <w:r>
        <w:rPr>
          <w:b/>
          <w:color w:val="1A4A6E"/>
          <w:sz w:val="22"/>
        </w:rPr>
        <w:t>Catherine Atkinson (Lab)</w:t>
      </w:r>
    </w:p>
    <w:p>
      <w:r>
        <w:rPr>
          <w:sz w:val="22"/>
        </w:rPr>
        <w:t>My constituent Rebecca and her now 13-year-old have not received child maintenance for over a decade. Arrears exceed £10,000, but because her son’s father has moved in and out of employment he has evaded enforcement, even where deduction from earnings orders have been made. I welcome that child maintenance systems are being reformed, but will the Minister tell us what action will be taken so that Rebecca and parents in similar situations across the country get the support they are entitled to?</w:t>
      </w:r>
    </w:p>
    <w:p/>
    <w:p>
      <w:r>
        <w:rPr>
          <w:b/>
          <w:color w:val="1A4A6E"/>
          <w:sz w:val="22"/>
        </w:rPr>
        <w:t>Andrew Western</w:t>
      </w:r>
    </w:p>
    <w:p>
      <w:r>
        <w:rPr>
          <w:sz w:val="22"/>
        </w:rPr>
        <w:t>I thank my hon. Friend for her question. I know that she has been representing Rebecca for some time in seeking a resolution to that case. We seek to introduce a range of changes when parliamentary time allows, but clearly there is further work to do to ensure that enforcement processes are also strengthened. Baroness Sherlock would be happy to discuss that with my hon. Friend if she feels that would be appropriate, and I would be happy to facilitate such a meeting.</w:t>
      </w:r>
    </w:p>
    <w:p/>
    <w:p>
      <w:r>
        <w:rPr>
          <w:b/>
          <w:color w:val="1A4A6E"/>
          <w:sz w:val="22"/>
        </w:rPr>
        <w:t>Speaker</w:t>
      </w:r>
    </w:p>
    <w:p>
      <w:r>
        <w:rPr>
          <w:sz w:val="22"/>
        </w:rPr>
        <w:t>I call the shadow Minister.</w:t>
      </w:r>
    </w:p>
    <w:p/>
    <w:p>
      <w:r>
        <w:rPr>
          <w:b/>
          <w:color w:val="1A4A6E"/>
          <w:sz w:val="22"/>
        </w:rPr>
        <w:t>Rebecca Smith (Con)</w:t>
      </w:r>
    </w:p>
    <w:p>
      <w:r>
        <w:rPr>
          <w:sz w:val="22"/>
        </w:rPr>
        <w:t>The Child Maintenance Service is not working for parents and it is not working for children. My own casework shows that the majority of those getting in touch about the CMS believe it to be ineffective, with systemic issues in communication, timeliness and case handling. My constituents are not alone. The independent case examiner received 1,827 complaints about the CMS in 2024-25, up from 1,519 in 2023-24. In November 2024, the charity Gingerbread published a report, “Fix the CMS”. In October 2025, a House of Lords Public Services Committee report recommended a range of changes to do the same. The Government have responded to both, but when will the Government enact the changes to bring forward the recommended and acknowledged improvements to the service?</w:t>
      </w:r>
    </w:p>
    <w:p/>
    <w:p>
      <w:r>
        <w:rPr>
          <w:b/>
          <w:color w:val="1A4A6E"/>
          <w:sz w:val="22"/>
        </w:rPr>
        <w:t>Andrew Western</w:t>
      </w:r>
    </w:p>
    <w:p>
      <w:r>
        <w:rPr>
          <w:sz w:val="22"/>
        </w:rPr>
        <w:t>As I said in a previous response, we will do so when parliamentary time allows. My noble Friend Baroness Sherlock is also considering a calculation review. There is a range of issues with the CMS that need to be looked at and resolved to ensure that the children in the middle of this get the support to which they are entitled.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