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27 April 2026  ·  Lords  ·  Proceedings</w:t>
      </w:r>
    </w:p>
    <w:p>
      <w:r>
        <w:rPr>
          <w:b/>
        </w:rPr>
        <w:t xml:space="preserve">Source: </w:t>
      </w:r>
      <w:r>
        <w:rPr>
          <w:sz w:val="20"/>
        </w:rPr>
        <w:t>https://hansard.parliament.uk/Lords/2026-04-27/debates/327CB96F-BE2D-4821-A532-4050052F3B4F/ArrangementOfBusiness</w:t>
      </w:r>
    </w:p>
    <w:p/>
    <w:p>
      <w:r>
        <w:rPr>
          <w:b/>
          <w:color w:val="1A4A6E"/>
          <w:sz w:val="22"/>
        </w:rPr>
        <w:t>Captain of the Honourable Corps of Gentlemen-at-Arms and Chief Whip (Lab Co-op)</w:t>
      </w:r>
    </w:p>
    <w:p>
      <w:r>
        <w:rPr>
          <w:sz w:val="22"/>
        </w:rPr>
        <w:t>My Lords, I now expect that we will receive the messages from the House of Commons on the Pension Schemes and English devolution Bills later than originally thought. To ensure that the House can make productive use of time, after the Statement we will move straight on to the agricultural regulations and the regret amendment in the name of the noble Lord, Lord Roborough. We will then consider the messages on those two Bills after the debate on the regulations.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