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26 March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https://hansard.parliament.uk/Commons/2026-03-26/debates/97A65CF2-3D88-469D-B062-64A8BE64A7B0/SpeakersStatement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Before we come to Transport questions, I wish to pay tribute to a former colleague, David Winnick, who died yesterday. David served as a Member of Parliament for 42 years, initially as the MP for Croydon South and then, notably, from 1979 to 2017 as the MP for Walsall North. He was a dedicated member of the British-Irish Parliamentary Assembly, including as its co-chair. David was also a long-standing member of the Home Affairs Committee. I am sure that Members from across the House will join me in sending our condolences to David’s family and friends, who are very much in our thoughts today.</w:t>
      </w:r>
    </w:p>
    <w:p>
      <w:r>
        <w:rPr>
          <w:sz w:val="22"/>
        </w:rPr>
        <w:t>Let us move on to questions to the Secretary of State for Transport, and may I wish a happy birthday to Lilian Greenwood?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