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26 March 2026  ·  Lords  ·  Proceedings</w:t>
      </w:r>
    </w:p>
    <w:p>
      <w:r>
        <w:rPr>
          <w:b/>
        </w:rPr>
        <w:t xml:space="preserve">Source: </w:t>
      </w:r>
      <w:r>
        <w:rPr>
          <w:sz w:val="20"/>
        </w:rPr>
        <w:t>https://hansard.parliament.uk/Lords/2026-03-26/debates/EFD072C2-A3EC-4E68-B5EA-BA37E03573AE/ArrangementOfBusiness</w:t>
      </w:r>
    </w:p>
    <w:p/>
    <w:p>
      <w:r>
        <w:rPr>
          <w:b/>
          <w:color w:val="1A4A6E"/>
          <w:sz w:val="22"/>
        </w:rPr>
        <w:t>Lord in Waiting/Government Whip (Lab)</w:t>
      </w:r>
    </w:p>
    <w:p>
      <w:r>
        <w:rPr>
          <w:sz w:val="22"/>
        </w:rPr>
        <w:t>My Lords, I remind the House of the guidance I provided on Tuesday about the conduct of debates on Report. As we enter the second day on this Bill, there are 13 groups to be considered. In providing noble Lords with guidance, I intend to help the whole House to make progress and proceed to votes. First, as mentioned last week, the House is resolved that speeches should be shorter. Secondly, and particularly relevant, the Companion states:</w:t>
      </w:r>
    </w:p>
    <w:p>
      <w:r>
        <w:rPr>
          <w:sz w:val="22"/>
        </w:rPr>
        <w:t>“Arguments fully deployed in Committee … should not be repeated at length on report”.</w:t>
      </w:r>
    </w:p>
    <w:p>
      <w:r>
        <w:rPr>
          <w:sz w:val="22"/>
        </w:rPr>
        <w:t>Thirdly, although interventions are in accordance with the customs of the House, there should be brief questions for clarification, and lengthy and frequent interventions should not be made. This is Report, not Committee, so a continued collective focus on ensuring that debates are contained, with those objectives in mind, as we saw on day one, would be welcome to help Report proceed in an orderly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