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Road Vehicles (Type-Approval) (Amendment) (No. 2) Regulations 2025</w:t>
      </w:r>
    </w:p>
    <w:p>
      <w:r>
        <w:rPr>
          <w:sz w:val="20"/>
        </w:rPr>
        <w:t>25 November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Transport</w:t>
      </w:r>
    </w:p>
    <w:p>
      <w:r>
        <w:rPr>
          <w:b/>
        </w:rPr>
        <w:t xml:space="preserve">Topics: </w:t>
      </w:r>
      <w:r>
        <w:rPr>
          <w:sz w:val="20"/>
        </w:rPr>
        <w:t>road vehicle regulations, secondary legislation scrutiny, vehicle type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https://hansard.parliament.uk/Lords/2025-11-25/debates/F7376098-40FE-4730-BE01-C6209A007834/RoadVehiclesTypeapprovalAmendmentNo2Regulations2025</w:t>
      </w:r>
    </w:p>
    <w:p/>
    <w:p>
      <w:r>
        <w:rPr>
          <w:b/>
          <w:color w:val="1A4A6E"/>
          <w:sz w:val="22"/>
        </w:rPr>
        <w:t>Lord Dodds of Duncairn</w:t>
      </w:r>
    </w:p>
    <w:p>
      <w:r>
        <w:rPr>
          <w:sz w:val="22"/>
        </w:rPr>
        <w:t>That the Grand Committee takes note of the Road Vehicles (Type-Approval) (Amendment) (No. 2) Regulations 2025. Relevant document: 33rd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