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Warm Home Discount  (England and Wales) Regulations 2026</w:t>
      </w:r>
    </w:p>
    <w:p>
      <w:r>
        <w:rPr>
          <w:sz w:val="20"/>
        </w:rPr>
        <w:t>25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Energy, Finance and taxation, Welfare and benefits</w:t>
      </w:r>
    </w:p>
    <w:p>
      <w:r>
        <w:rPr>
          <w:b/>
        </w:rPr>
        <w:t xml:space="preserve">Topics: </w:t>
      </w:r>
      <w:r>
        <w:rPr>
          <w:sz w:val="20"/>
        </w:rPr>
        <w:t>energy bills, energy bills support, energy efficiency, low income households, statutory instrument approval, warm home discount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https://hansard.parliament.uk/Lords/2026-03-25/debates/03F968F5-D6A4-42B0-8E96-B2014DBA80A7/WarmHomeDiscountEnglandAndWalesRegulations2026</w:t>
      </w:r>
    </w:p>
    <w:p/>
    <w:p>
      <w:r>
        <w:rPr>
          <w:b/>
          <w:color w:val="1A4A6E"/>
          <w:sz w:val="22"/>
        </w:rPr>
        <w:t>Lord Whitehead</w:t>
      </w:r>
    </w:p>
    <w:p>
      <w:r>
        <w:rPr>
          <w:sz w:val="22"/>
        </w:rPr>
        <w:t>That the draft Regulations laid before the House on 2 and 5 February be approved. Considered in Grand Committee on 23 March.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