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25 February 2026  ·  Commons  ·  Proceedings</w:t>
      </w:r>
    </w:p>
    <w:p>
      <w:r>
        <w:rPr>
          <w:b/>
        </w:rPr>
        <w:t xml:space="preserve">Source: </w:t>
      </w:r>
      <w:r>
        <w:rPr>
          <w:sz w:val="20"/>
        </w:rPr>
        <w:t>https://hansard.parliament.uk/Commons/2026-02-25/debates/2B6FF395-B6EB-4DB5-9EB5-3176C7DF2EDE/SpeakersStatement</w:t>
      </w:r>
    </w:p>
    <w:p/>
    <w:p>
      <w:r>
        <w:rPr>
          <w:b/>
          <w:color w:val="1A4A6E"/>
          <w:sz w:val="22"/>
        </w:rPr>
        <w:t>Speaker</w:t>
      </w:r>
    </w:p>
    <w:p>
      <w:r>
        <w:rPr>
          <w:sz w:val="22"/>
        </w:rPr>
        <w:t>Members will be aware of comments in the media regarding the arrest of Lord Mandelson. To prevent any inaccurate speculation, I would like to confirm that upon receipt of information, I felt it was relevant to pass this on to the Metropolitan police in good faith, as is my duty and responsibility. It is regrettable that this rapidly ended up in the media. As this is a live investigation, Members will understand that it would not be appropriate to make any further comment, and I caution Members from doing so.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