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Sussex and Brighton Combined County Authority Regulations 2026</w:t>
      </w:r>
    </w:p>
    <w:p>
      <w:r>
        <w:rPr>
          <w:sz w:val="20"/>
        </w:rPr>
        <w:t>24 March 2026  ·  Lords  ·  Statutory Instrument</w:t>
      </w:r>
    </w:p>
    <w:p>
      <w:r>
        <w:rPr>
          <w:b/>
        </w:rPr>
        <w:t xml:space="preserve">Policy areas: </w:t>
      </w:r>
      <w:r>
        <w:rPr>
          <w:sz w:val="20"/>
        </w:rPr>
        <w:t>Finance and taxation, Local government</w:t>
      </w:r>
    </w:p>
    <w:p>
      <w:r>
        <w:rPr>
          <w:b/>
        </w:rPr>
        <w:t xml:space="preserve">Topics: </w:t>
      </w:r>
      <w:r>
        <w:rPr>
          <w:sz w:val="20"/>
        </w:rPr>
        <w:t>levy and safety net, local government finance, non-domestic rating, rates retention, statutory instrument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https://hansard.parliament.uk/Lords/2026-03-24/debates/72CAEFF4-FA58-4935-B308-0384B9382B5A/SussexAndBrightonCombinedCountyAuthorityRegulations2026</w:t>
      </w:r>
    </w:p>
    <w:p/>
    <w:p>
      <w:r>
        <w:rPr>
          <w:b/>
          <w:color w:val="1A4A6E"/>
          <w:sz w:val="22"/>
        </w:rPr>
        <w:t>Baroness Taylor of Stevenage</w:t>
      </w:r>
    </w:p>
    <w:p>
      <w:r>
        <w:rPr>
          <w:sz w:val="22"/>
        </w:rPr>
        <w:t>That the draft Regulations laid before the House on 11 and 12 February be approved. Relevant document: 52nd Report from the Secondary Legislation Scrutiny Committee. Consider ed in Grand Committee on 23 March.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