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24 March 2026  ·  Lords  ·  Debate</w:t>
      </w:r>
    </w:p>
    <w:p>
      <w:r>
        <w:rPr>
          <w:b/>
        </w:rPr>
        <w:t xml:space="preserve">Policy areas: </w:t>
      </w:r>
      <w:r>
        <w:rPr>
          <w:sz w:val="20"/>
        </w:rPr>
        <w:t>Government and public administration, Local government</w:t>
      </w:r>
    </w:p>
    <w:p>
      <w:r>
        <w:rPr>
          <w:b/>
        </w:rPr>
        <w:t xml:space="preserve">Topics: </w:t>
      </w:r>
      <w:r>
        <w:rPr>
          <w:sz w:val="20"/>
        </w:rPr>
        <w:t>combined county authorities, democratic accountability, elected member powers, mayoral scrutiny committees, public accountability meetings</w:t>
      </w:r>
    </w:p>
    <w:p>
      <w:r>
        <w:rPr>
          <w:b/>
        </w:rPr>
        <w:t xml:space="preserve">Source: </w:t>
      </w:r>
      <w:r>
        <w:rPr>
          <w:sz w:val="20"/>
        </w:rPr>
        <w:t>https://hansard.parliament.uk/Lords/2026-03-24/debates/50B119E9-2356-4EF5-8030-2AB9F559006C/EnglishDevolutionAndCommunityEmpowermentBill</w:t>
      </w:r>
    </w:p>
    <w:p/>
    <w:p>
      <w:r>
        <w:rPr>
          <w:b/>
          <w:color w:val="1A4A6E"/>
          <w:sz w:val="22"/>
        </w:rPr>
        <w:t>Lord Shipley</w:t>
      </w:r>
    </w:p>
    <w:p>
      <w:r>
        <w:rPr>
          <w:sz w:val="22"/>
        </w:rPr>
        <w:t>My Lords, in this group I have Amendments 49, 95 and 96, and I have signed Amendment 182 in the name of the noble Lord, Lord Bichard.</w:t>
      </w:r>
    </w:p>
    <w:p>
      <w:r>
        <w:rPr>
          <w:sz w:val="22"/>
        </w:rPr>
        <w:t>In speaking to Amendment 49, I want to thank the Minister for having written to us last week—she proposed a whole raft of new amendments on the scrutiny functions. My amendment, which would require the mayor of a combined county authority to establish a scrutiny committee of elected members with powers of summons to examine and report on the mayor’s exercise of functions, is therefore rather out of date now, so I will not be pressing that.</w:t>
      </w:r>
    </w:p>
    <w:p>
      <w:r>
        <w:rPr>
          <w:sz w:val="22"/>
        </w:rPr>
        <w:t>However, I want to raise a broader question, because at times the rest of England seems to be following London, and at other times it is not. On this occasion—this relates to Amendment 95—in London, the mayor of London is required to hold a public meeting known as a People’s Question Time twice per financial year to answer questions from the public; that is in Section 48 of the Greater London Authority Act 1999. I would like that to be replicated across all mayors in England so that something similar happens. I think that mayors are going to need—and I hope that they will want—to be held accountable for policy decisions they make. But the Minister might look at that issue of a people’s question time. We shall not reach it tonight for voting purposes, so I can consider what to do as a consequence of the Minister’s reply.</w:t>
      </w:r>
    </w:p>
    <w:p>
      <w:r>
        <w:rPr>
          <w:sz w:val="22"/>
        </w:rPr>
        <w:t>I feel very strongly about Amendment 96. I was a member of a regional development agency a number of years ago, and the RDA was required to turn up to every local council in its area once a year to answer questions from elected members, so that seems an entirely appropriate thing to do. I am suggesting only that a combined authority mayor should</w:t>
      </w:r>
    </w:p>
    <w:p>
      <w:r>
        <w:rPr>
          <w:sz w:val="22"/>
        </w:rPr>
        <w:t>“appear annually before each constituent local authority to answer questions from elected councillors”,</w:t>
      </w:r>
    </w:p>
    <w:p>
      <w:r>
        <w:rPr>
          <w:sz w:val="22"/>
        </w:rPr>
        <w:t>which would strengthen</w:t>
      </w:r>
    </w:p>
    <w:p>
      <w:r>
        <w:rPr>
          <w:sz w:val="22"/>
        </w:rPr>
        <w:t>“democratic accountability within devolved areas”.</w:t>
      </w:r>
    </w:p>
    <w:p>
      <w:r>
        <w:rPr>
          <w:sz w:val="22"/>
        </w:rPr>
        <w:t>I find it difficult to know what would be wrong with that, so I hope very much that the Minister will indicate her approval.</w:t>
      </w:r>
    </w:p>
    <w:p>
      <w:r>
        <w:rPr>
          <w:sz w:val="22"/>
        </w:rPr>
        <w:t>I will not speak about the amendment tabled by the noble Lord, Lord Bichard, as that would steal his thunder, but he has hit on a very important issue around local public accounts committees. I have similar concerns to those that I think he has, but I will leave it to him. I beg to move.</w:t>
      </w:r>
    </w:p>
    <w:p/>
    <w:p>
      <w:r>
        <w:rPr>
          <w:b/>
          <w:color w:val="1A4A6E"/>
          <w:sz w:val="22"/>
        </w:rPr>
        <w:t>Lord Bichard</w:t>
      </w:r>
    </w:p>
    <w:p>
      <w:r>
        <w:rPr>
          <w:sz w:val="22"/>
        </w:rPr>
        <w:t>My Lords, I rise to speak on cue to my Amendment 182, declare an interest as an honorary vice-president of the Local Government Association and thank the noble Lord, Lord Shipley, for supporting my amendment.</w:t>
      </w:r>
    </w:p>
    <w:p>
      <w:r>
        <w:rPr>
          <w:sz w:val="22"/>
        </w:rPr>
        <w:t>I welcome the Government’s amendment to establish overview and scrutiny committees. Why then have I persisted in my amendment for what I have called local public accounts committees? It is because the overview and scrutiny committees will focus only on scrutinising strategic authorities. I believe that we need to extend the focus of scrutiny from a single institution—the strategic authority—to the wider scrutiny of the place. The crucial difference between my amendment and the Government’s proposal is that my scrutiny committee would have the power to report not just on strategic authorities but on how effectively all local public service partners were collaborating in a place for the benefit of the public and the wider community.</w:t>
      </w:r>
    </w:p>
    <w:p>
      <w:r>
        <w:rPr>
          <w:sz w:val="22"/>
        </w:rPr>
        <w:t>Why is this so important? I will not go through the points that I made at length in Committee, but over the last four decades our public services have become increasingly fragmented, with the establishment of a myriad of disconnected, sometimes single-purpose agencies whose objectives and targets have on occasions overlapped and even conflicted. As we all know, those agencies have worked too often in silos. As a result, the public have struggled to access or even make sense of the disjointed services that are on offer. Money has been wasted because the silos do not work together to deliver the best value for money. At worst, people, sometimes children, have died because data and intelligence were not shared quickly enough to protect them.</w:t>
      </w:r>
    </w:p>
    <w:p>
      <w:r>
        <w:rPr>
          <w:sz w:val="22"/>
        </w:rPr>
        <w:t>In many places public service partners have worked very hard to break down these silos, but that is not uniformly the case. The prevailing culture in our public services has too often been one of competition rather than collaboration. I am convinced that for that to change we need in every local area a body with the power to scrutinise and report on how all public sector partners co-operate or do not co-operate for the good of citizens. If instead we establish overview and scrutiny and scrutiny committees which address only the performance of a single institution, we will reinforce the silo-based mentality that we have created for another generation—all for the want of adding a simple power for the overview and scrutiny committees to report on how the wider system is working.</w:t>
      </w:r>
    </w:p>
    <w:p>
      <w:r>
        <w:rPr>
          <w:sz w:val="22"/>
        </w:rPr>
        <w:t>If we do give those committees that additional power, we will also demonstrate that in a devolved system, accountability does not always have to be to the centre. Accountability can be local, should be local and can be done more effectively if it is. Extended scrutiny committees and local Public Accounts Committees of this sort would be very visible. They could involve local business communities and the voluntary sector, perhaps with an independent chair. They would become a very visible local body.</w:t>
      </w:r>
    </w:p>
    <w:p>
      <w:r>
        <w:rPr>
          <w:sz w:val="22"/>
        </w:rPr>
        <w:t>I promoted this idea when I was chief executive of Gloucestershire County Council. Your Lordships must suspend your disbelief—that was in the 1980s. Therefore, I was delighted when the English devolution White Paper committed government to explore the local public accounts committee model. The problem is that this Bill and the Government’s amendment do not follow that through. However, my conversations with the Minister since Committee—which I am grateful that she was prepared to be involved in—suggest that she remains supportive of the concept but wants to see more policy development and more stakeholder consultation before progressing further. I understand that.</w:t>
      </w:r>
    </w:p>
    <w:p>
      <w:r>
        <w:rPr>
          <w:sz w:val="22"/>
        </w:rPr>
        <w:t>If the Minister can confirm this from the Dispatch Box tonight, that will take us quite a long way further forward and I will not press this to a vote. If, for example, we could set up a working party to produce a fully formed proposal for local public accounts committees, we would have taken a big, decisive step in changing the very culture of our local public services—from competition to collaboration.</w:t>
      </w:r>
    </w:p>
    <w:p/>
    <w:p>
      <w:r>
        <w:rPr>
          <w:b/>
          <w:color w:val="1A4A6E"/>
          <w:sz w:val="22"/>
        </w:rPr>
        <w:t>Baroness Scott of Bybrook</w:t>
      </w:r>
    </w:p>
    <w:p>
      <w:r>
        <w:rPr>
          <w:sz w:val="22"/>
        </w:rPr>
        <w:t>My Lords, this group of amendments raises important issues concerning accountability and transparency within our evolving system of devolved governance. Amendments 49, 95 and 96 in the name of the noble Lord, Lord Shipley, engage with the central principle that, where power is exercised, it should be subject to effective and visible scrutiny. I am sure that all noble Lords agree with that principle. These amendments would ensure that it extends directly to elected mayors.</w:t>
      </w:r>
    </w:p>
    <w:p>
      <w:r>
        <w:rPr>
          <w:sz w:val="22"/>
        </w:rPr>
        <w:t>Amendment 49 proposes dedicated scrutiny committees with powers to summons and to report. This reflects a desire to ensure that mayoral commissioners are properly held to account. Amendments 95 and 96 similarly seek to strengthen direct lines of accountability, whether through public-facing forums such as the People’s Question Time in London, which we have heard about, or through structured engagement with elected members of constituent authorities. We recognise the intent behind these proposals, particularly the effort to align arrangements more closely with established practices, as we have heard about on the Mayor of London.</w:t>
      </w:r>
    </w:p>
    <w:p>
      <w:r>
        <w:rPr>
          <w:sz w:val="22"/>
        </w:rPr>
        <w:t>Government Amendments 67 and 68 introduce substantial new schedules at a very late stage in the Bill. They set out an extensive and detailed framework for overview and scrutiny committees in mayoral combined county authorities. While the aim to strengthen scrutiny is clearly welcome, the scale and complexity of these provisions inevitably raise a number of questions that merit careful consideration. It is regrettable that this has been tabled at such a late stage in the parliamentary process of the Bill’s passage.</w:t>
      </w:r>
    </w:p>
    <w:p>
      <w:r>
        <w:rPr>
          <w:sz w:val="22"/>
        </w:rPr>
        <w:t>The proposed role for independent or external experts on scrutiny committees is notable. It would be helpful to understand more clearly who these individuals might be, how they are to be appointed and how their independence will be defined and safeguarded. Questions also arise as to whether there is sufficient capacity and expertise available across the country to support this model in practice. I look to the Minister for a response on these matters.</w:t>
      </w:r>
    </w:p>
    <w:p>
      <w:r>
        <w:rPr>
          <w:sz w:val="22"/>
        </w:rPr>
        <w:t>Further, there are important practical considerations about how members of these committees are to be appointed, the role of elected councillors within them and the extent to which their proceedings and findings will be made publicly accessible. The mechanisms by which members of the public can raise issues and engage with the scrutiny process are also of clear importance. There is perhaps a broader question as to whether lessons might be drawn from existing models, including the arrangements that have been in place for some time in Greater London for the scrutiny of directly elected mayors.</w:t>
      </w:r>
    </w:p>
    <w:p>
      <w:r>
        <w:rPr>
          <w:sz w:val="22"/>
        </w:rPr>
        <w:t>Finally, Amendment 182 in the name of the noble Lord, Lord Bichard, raises the interesting proposal of local public accounts committees. We believe that the principles of strengthening financial oversight and cross-agency accountability are important, although the precise design and implications of such bodies, as we heard from the noble Lord, would clearly require careful thought and planning. Therefore, I very much look forward to the Minister’s response on this proposition.</w:t>
      </w:r>
    </w:p>
    <w:p>
      <w:r>
        <w:rPr>
          <w:sz w:val="22"/>
        </w:rPr>
        <w:t>This group highlights the central importance of scrutiny within any system of devolved governance. I look forward to the Minister addressing how the Government intend to ensure that these new structures are both effective in practice and clearly understood by those they are intended to serve.</w:t>
      </w:r>
    </w:p>
    <w:p/>
    <w:p>
      <w:r>
        <w:rPr>
          <w:b/>
          <w:color w:val="1A4A6E"/>
          <w:sz w:val="22"/>
        </w:rPr>
        <w:t>The Parliamentary Under-Secretary of State, Ministry of Housing, Communities and Local Government (Lab)</w:t>
      </w:r>
    </w:p>
    <w:p>
      <w:r>
        <w:rPr>
          <w:sz w:val="22"/>
        </w:rPr>
        <w:t>My Lords, I thank the noble Lords, Lord Bichard and Lord Shipley, and the noble Baroness, Lady Pidgeon, for their amendments on scrutiny and accountability. These have been recurring themes during debates on the Bill. I thank the noble Baronesses, Lady Scott and Lady Pinnock, and the noble Lords, Lord Jamieson and Lord Wallace, for their contributions to these discussions. I am particularly grateful to the noble Lords, Lord Bichard and Lord Bassam, for their very constructive engagement and the insights they have shared with me on this issue. While I appreciate the comments from the noble Baroness, Lady Scott, on the late introduction of these amendments, I felt that our discussions on scrutiny in Committee were too important for us not to respond as a Government.</w:t>
      </w:r>
    </w:p>
    <w:p>
      <w:r>
        <w:rPr>
          <w:sz w:val="22"/>
        </w:rPr>
        <w:t>In the English devolution White Paper, we committed to exploring a local public accounts committee model to provide a vehicle to scrutinise local public spending. This recognised that the powers afforded for local scrutiny were not commensurate to the increased scale of powers and responsibilities devolved to mayoral strategic authorities. Local scrutiny committees will replace overview and scrutiny committees in mayoral combined and combined county authorities, providing an enhanced scrutiny regime with stronger oversight and a broader remit to reflect the scale of mayoral responsibilities, with greater teeth to hold mayors to account.</w:t>
      </w:r>
    </w:p>
    <w:p>
      <w:r>
        <w:rPr>
          <w:sz w:val="22"/>
        </w:rPr>
        <w:t>To answer the points about some of the detail raised by the noble Baroness, Lady Scott, as with the existing system, the chair of the committee must be from a different party from the mayor or be an independent person appointed through an open and fair competition. At least 60% of committee members must be councillors from constituent local authorities, rather than the current requirement that at least half of members must be local councillors. These committees must also reflect the political make-up of the area. They will be able to shape early decision-making and undertake value-for-money assessments across the full scope of a mayoral strategic authority’s work. I know that the noble Lord, Lord Shipley, was particularly interested in that ability to shape decision-making before things came before the boards for decision.</w:t>
      </w:r>
    </w:p>
    <w:p>
      <w:r>
        <w:rPr>
          <w:sz w:val="22"/>
        </w:rPr>
        <w:t>The committees will have the power to make recommendations on the quality of decisions and on the use of public funds. They will have the authority to challenge decisions taken by the mayor, commissioners and senior officials and to require attendance and information at evidence sessions. This will also extend to key stakeholders outside the mayoral strategic authority, who will be defined in regulations. Those who fail to comply without reasonable excuse will face a civil penalty, on which further details will be established in regulations.</w:t>
      </w:r>
    </w:p>
    <w:p/>
    <w:p>
      <w:r>
        <w:rPr>
          <w:b/>
          <w:color w:val="1A4A6E"/>
          <w:sz w:val="22"/>
        </w:rPr>
        <w:t>Lord Shipley</w:t>
      </w:r>
    </w:p>
    <w:p>
      <w:r>
        <w:rPr>
          <w:sz w:val="22"/>
        </w:rPr>
        <w:t>I beg leave to withdraw the amendment.</w:t>
      </w:r>
    </w:p>
    <w:p/>
    <w:p>
      <w:r>
        <w:rPr>
          <w:b/>
          <w:color w:val="1A4A6E"/>
          <w:sz w:val="22"/>
        </w:rPr>
        <w:t>Baroness Scott of Bybrook</w:t>
      </w:r>
    </w:p>
    <w:p>
      <w:r>
        <w:rPr>
          <w:sz w:val="22"/>
        </w:rPr>
        <w:t>My Lords, the amendments in this group, all of which are in my name and that of my noble friend Lord Jamieson, relate to Clause 10 and the reporting of allowances within combined county authorities. These amendments are straightforward but they address an important principle: transparency and the use of public money.</w:t>
      </w:r>
    </w:p>
    <w:p>
      <w:r>
        <w:rPr>
          <w:sz w:val="22"/>
        </w:rPr>
        <w:t>The amendments seek to do three things: first, to ensure that reports on allowances are published on a quarterly basis; secondly, to require that those reports include not only the amounts paid but the evidence submitted by members, particularly those with special responsibilities; and, thirdly, to ensure that such reports are published online and are readily accessible to the public. None of these proposals is onerous; nor do they seek to disrupt the functioning of combined authorities. Rather, they aim to strengthen public confidence by ensuring that decisions about remuneration are open, visible and properly evidenced.</w:t>
      </w:r>
    </w:p>
    <w:p>
      <w:r>
        <w:rPr>
          <w:sz w:val="22"/>
        </w:rPr>
        <w:t>Public trust in local institutions depends not only on decisions that they are taking but on how transparently those decisions are made. If allowances are justified, why should the evidence supporting them not be published alongside the figures? Indeed, why should such information not be in the public domain as a matter of course? These amendments also reflect the evolving role of combined authorities. As they take on greater responsibilities and greater public funding, so too must they meet higher expectations of accountability. With increased power must come increased transparency. Is it not reasonable to expect that information on the use of public funds is not published routinely rather than intermittently? Should that information not include the justification for payments made by those in positions of additional responsibility?</w:t>
      </w:r>
    </w:p>
    <w:p>
      <w:r>
        <w:rPr>
          <w:sz w:val="22"/>
        </w:rPr>
        <w:t>I anticipate that it may be argued that existing arrangements are sufficient or that flexibility is required, but if the current system already delivers transparency, what objection can there be to making it clearer, more regular and more accessible? If it does not already do this, should we not take this opportunity to strengthen it?</w:t>
      </w:r>
    </w:p>
    <w:p>
      <w:r>
        <w:rPr>
          <w:sz w:val="22"/>
        </w:rPr>
        <w:t>These amendments go to the heart of accountability. If we are to entrust combined authorities with significant powers and resources, we must also ensure that they are subject to consistent, visible and robust scrutiny. I beg to move.</w:t>
      </w:r>
    </w:p>
    <w:p/>
    <w:p>
      <w:r>
        <w:rPr>
          <w:b/>
          <w:color w:val="1A4A6E"/>
          <w:sz w:val="22"/>
        </w:rPr>
        <w:t>Lord Shipley</w:t>
      </w:r>
    </w:p>
    <w:p>
      <w:r>
        <w:rPr>
          <w:sz w:val="22"/>
        </w:rPr>
        <w:t>My Lords, it seems to me that all the amendments in this group would amount to good practice; this is what should happen. I hope the Minister will confirm that the amendments are agreeable.</w:t>
      </w:r>
    </w:p>
    <w:p/>
    <w:p>
      <w:r>
        <w:rPr>
          <w:b/>
          <w:color w:val="1A4A6E"/>
          <w:sz w:val="22"/>
        </w:rPr>
        <w:t>Baroness Taylor of Stevenage</w:t>
      </w:r>
    </w:p>
    <w:p>
      <w:r>
        <w:rPr>
          <w:sz w:val="22"/>
        </w:rPr>
        <w:t>My Lords, I thank the noble Baroness, Lady Scott, for her Amendments 69 to 74. While I recognise her commitment to accountability in local government, the Bill provides that combined and combined county authorities and independent remuneration panels must take account of any guidance issued by the Secretary of State for this clause.</w:t>
      </w:r>
    </w:p>
    <w:p>
      <w:r>
        <w:rPr>
          <w:sz w:val="22"/>
        </w:rPr>
        <w:t>That guidance will be issued in due course and will provide further details on the matters raised in these amendments. None the less, on the principles raised, I agree with the noble Baroness’s point about transparency. We will seek to be pragmatic, ensuring that we balance clear accountability and transparency against overburdening the authorities in their reporting arrangements. I therefore ask that the noble Baroness withdraws Amendment 69.</w:t>
      </w:r>
    </w:p>
    <w:p/>
    <w:p>
      <w:r>
        <w:rPr>
          <w:b/>
          <w:color w:val="1A4A6E"/>
          <w:sz w:val="22"/>
        </w:rPr>
        <w:t>Baroness Scott of Bybrook</w:t>
      </w:r>
    </w:p>
    <w:p>
      <w:r>
        <w:rPr>
          <w:sz w:val="22"/>
        </w:rPr>
        <w:t>We have heard from the Minister that the functions may already exist to provide a degree of oversight. However, the question before us is not simply whether information is recorded; rather, it is whether that information is made very visible, accessible and consistently available to the public.</w:t>
      </w:r>
    </w:p>
    <w:p>
      <w:r>
        <w:rPr>
          <w:sz w:val="22"/>
        </w:rPr>
        <w:t>These amendments do not seek to impose unnecessary burdens. They set out a reasonable expectation that reporting should be regular, transparent and accessible; in short, that it should meet the standards that the public are entitled to expect. This is not about questioning the integrity of those involved. It is about ensuring that the systems within which they operate command public confidence, and that confidence rests on transparency.</w:t>
      </w:r>
    </w:p>
    <w:p>
      <w:r>
        <w:rPr>
          <w:sz w:val="22"/>
        </w:rPr>
        <w:t>I listened to the Minister. We will wait until the guidance comes out to ensure that it reflects what we think the public deserve. At this point, I beg leave to withdraw my amendment.</w:t>
      </w:r>
    </w:p>
    <w:p/>
    <w:p>
      <w:r>
        <w:rPr>
          <w:b/>
          <w:color w:val="1A4A6E"/>
          <w:sz w:val="22"/>
        </w:rPr>
        <w:t>Lord Jamieson</w:t>
      </w:r>
    </w:p>
    <w:p>
      <w:r>
        <w:rPr>
          <w:sz w:val="22"/>
        </w:rPr>
        <w:t>My Lords, I will speak to the amendments in my name and that of my noble friend Lady Scott of Bybrook regarding the changes proposed in this Bill to the mayoral precept arrangements. As we raised in Committee, it is important to ensure value for money and that a mayoral precept is used not to compensate for cuts in government funding but to support delivery for an area. Additional responsibilities should not be placed on local authorities without adequate funding.</w:t>
      </w:r>
    </w:p>
    <w:p>
      <w:r>
        <w:rPr>
          <w:sz w:val="22"/>
        </w:rPr>
        <w:t>On Amendment 77, as was said in Committee, these precept arrangements were only recently and carefully set out in the Levelling-up and Regeneration Act 2023 as a result of many long hours of debate in this House. The Minister has explained that these changes will allow mayors to precept for all an authority’s functions. However, stability is important to long-term confidence in local government finance, so we oppose revisiting this framework before the recent changes have had a chance to bed in.</w:t>
      </w:r>
    </w:p>
    <w:p>
      <w:r>
        <w:rPr>
          <w:sz w:val="22"/>
        </w:rPr>
        <w:t>Amendment 78 seeks to bring the precept arrangements in line with the amounts permitted for county councils and unitary authorities. While we accept that a mayoral authority is different from other authorities, this in itself does not justify an exemption from well-understood precept arrangements. In Committee, the Minister said the limit would make the value of a precept insignificant. Does that mean that the Government envisage yet more tax increases?</w:t>
      </w:r>
    </w:p>
    <w:p>
      <w:r>
        <w:rPr>
          <w:sz w:val="22"/>
        </w:rPr>
        <w:t>This brings me to Amendment 79, requiring mayors to explain to the public their reasons for any increases to the precept. This would apply whenever the mayor of a strategic authority sets a precept higher than the one set for the previous financial year. When people are asked to pay more, they deserve to know why, particularly given the current cost of living. To ensure full transparency and that this information is accessible, our amendment requires that a statement be published on the authority’s website, detailing the amount of the increase and explaining the purposes for which the additional revenue is to be used. This cannot be done in hindsight. The statement must be published before or at the same time as the precept is set. Again, engagement with the local community should not be treated as an afterthought. Unless we hear convincing arguments against this amendment, I am minded to test the opinion of the House on Amendment 79.</w:t>
      </w:r>
    </w:p>
    <w:p>
      <w:r>
        <w:rPr>
          <w:sz w:val="22"/>
        </w:rPr>
        <w:t>There is a broader concern that this Bill would enable, intentionally or not, excessive tax increases on local people at a time when they can least afford them. I beg to move.</w:t>
      </w:r>
    </w:p>
    <w:p/>
    <w:p>
      <w:r>
        <w:rPr>
          <w:b/>
          <w:color w:val="1A4A6E"/>
          <w:sz w:val="22"/>
        </w:rPr>
        <w:t>Lord in Waiting/Government Whip (Lab)</w:t>
      </w:r>
    </w:p>
    <w:p>
      <w:r>
        <w:rPr>
          <w:sz w:val="22"/>
        </w:rPr>
        <w:t>My Lords, I thank the noble Lord, Lord Jamieson, for the amendments on precepts. The precept reforms which Amendment 77 seeks to prevent will enable mayors to levy a precept across the full range of an authority’s functions, giving them greater freedom in how they resource and deliver their priorities. I remind noble Lords that mayors have had the statutory ability to issue a precept since 2017, when it was introduced by the then Government. Importantly, it remains entirely for each mayor to decide whether to make use of it.</w:t>
      </w:r>
    </w:p>
    <w:p>
      <w:r>
        <w:rPr>
          <w:sz w:val="22"/>
        </w:rPr>
        <w:t>Under the current framework, any precept that is raised can be spent only on designated mayoral functions, rather than on the full suite of an authority’s responsibilities. This restriction is both arbitrary and unhelpful in practice. It could, for instance, allow investment in transport but not in skills related initiatives. Our intention is to equip mayors with the means to address barriers to growth and improve outcomes for their communities. To do this effectively, they must be able to allocate resources across all functions of the authority, not just a narrow subset.</w:t>
      </w:r>
    </w:p>
    <w:p>
      <w:r>
        <w:rPr>
          <w:sz w:val="22"/>
        </w:rPr>
        <w:t>Amendment 78 would automatically apply council tax referendum principles to strategic authorities. This would unnecessarily restrict mayors’ ability to determine how best to deliver for their residents and local economies. The Secretary of State already has the power to set referendum principles for strategic authorities, if needed. In practice, mayoral precepts are relatively small. If their increases were capped in the same way as council tax, the sums involved would be minimal in most areas, limiting their usefulness for supporting local priorities.</w:t>
      </w:r>
    </w:p>
    <w:p>
      <w:r>
        <w:rPr>
          <w:sz w:val="22"/>
        </w:rPr>
        <w:t>The Government have been clear that any rises in the mayoral precept should remain fair and proportionate. However, imposing the same limits as on councils would reduce local flexibility. This approach cuts across the spirit of the Bill and of devolution more broadly. Our aim is to empower mayors to invest in their communities, strengthen public services and support economic growth. The Government already consult annually on the local government finance settlement, which is the proper mechanism for considering these issues for authorities and taxpayers.</w:t>
      </w:r>
    </w:p>
    <w:p>
      <w:r>
        <w:rPr>
          <w:sz w:val="22"/>
        </w:rPr>
        <w:t>Turning to Amendment 79, as I have noted, the ability to issue a mayoral precept has existed in law since 2017, when it was introduced by the then Government. Whether to introduce a precept is a local decision and would need to be approved through the budget voting process within each combined authority or combined county authority. This includes setting out the precept amount and what it is intended to fund.</w:t>
      </w:r>
    </w:p>
    <w:p>
      <w:r>
        <w:rPr>
          <w:sz w:val="22"/>
        </w:rPr>
        <w:t>It is also worth pointing to the council tax billing requirements. Under the Council Tax (Demand Notices) (England) Regulations 2011, the information supplied with bills must include details of each local authority’s gross expenditure and its council tax requirement. It must also include an explanation of the reasons for the difference between the amounts. Where a mayoral combined or combined county authority issues a precept, it is covered by these provisions. This ensures residents can see both the amount of the mayoral precept and what it is funding. This information is also published on websites and if the taxpayer requires it, they can have it in a hard copy. As such, the system already builds in a statutory requirement for transparency and justification.</w:t>
      </w:r>
    </w:p>
    <w:p>
      <w:r>
        <w:rPr>
          <w:sz w:val="22"/>
        </w:rPr>
        <w:t>For the reasons I have set out, the Government cannot support the amendments in this group, and I ask noble Lords not to press them.</w:t>
      </w:r>
    </w:p>
    <w:p/>
    <w:p>
      <w:r>
        <w:rPr>
          <w:b/>
          <w:color w:val="1A4A6E"/>
          <w:sz w:val="22"/>
        </w:rPr>
        <w:t>Lord Jamieson</w:t>
      </w:r>
    </w:p>
    <w:p>
      <w:r>
        <w:rPr>
          <w:sz w:val="22"/>
        </w:rPr>
        <w:t>I thank the Minister for his response. However, we believe that there needs to be greater transparency in the approach to local taxation, to encourage not just accountability for financial decisions but also public trust. Therefore, if the Government do not wish to press ahead with their changes to their precept arrangements, I will focus on Amendment 79. This amendment is not asking for much. It reflects the simple expectation that any increases to taxation by the mayor are explained transparently and are accessible to the members of the public they serve. This requirement will support, not obstruct, good decision-making and management of local government finance. Therefore, on this amendment I will test the opinion of the House. Meanwhile, I beg leave to withdraw Amendment 77.</w:t>
      </w:r>
    </w:p>
    <w:p/>
    <w:p>
      <w:r>
        <w:rPr>
          <w:b/>
          <w:color w:val="1A4A6E"/>
          <w:sz w:val="22"/>
        </w:rPr>
        <w:t>Lord Jamieson</w:t>
      </w:r>
    </w:p>
    <w:p>
      <w:r>
        <w:rPr>
          <w:sz w:val="22"/>
        </w:rPr>
        <w:t>I beg leave to test the opinion of the House.</w:t>
      </w:r>
    </w:p>
    <w:p/>
    <w:p>
      <w:r>
        <w:rPr>
          <w:b/>
          <w:color w:val="1A4A6E"/>
          <w:sz w:val="22"/>
        </w:rPr>
        <w:t>Lord Jamieson</w:t>
      </w:r>
    </w:p>
    <w:p>
      <w:r>
        <w:rPr>
          <w:sz w:val="22"/>
        </w:rPr>
        <w:t>My Lords, this new clause would require the Secretary of State to report on the exercise of powers to borrow money by strategic authorities and their ability to repay the debts incurred. I thank the Minister for her correspondence on powers to borrow after this was debated in Committee. As the previous group focused on precepts, we felt it worth discussing powers to borrow in isolation.</w:t>
      </w:r>
    </w:p>
    <w:p>
      <w:r>
        <w:rPr>
          <w:sz w:val="22"/>
        </w:rPr>
        <w:t>In Committee, we asked one key question: who, in effect, is the guarantor in the event that an authority cannot pay back its borrowing? I appreciate the Minister’s clarification that constituent councils will not be held liable for debts incurred by the authority. However, this is an important area that requires thorough oversight, which is why we tabled Amendment 80 to require the Secretary of State to report on the exercise of powers to borrow money by the strategic authorities and their ability to repay debts incurred. Surely one of the aims of the Government’s plans is to put local government on a stable and sustainable financial footing.</w:t>
      </w:r>
    </w:p>
    <w:p>
      <w:r>
        <w:rPr>
          <w:sz w:val="22"/>
        </w:rPr>
        <w:t>To be clear, we do not object to the ability of authorities to borrow money, but we do think that the Secretary of State and, crucially, Parliament should be aware of the facts. This report would be published, copies would be placed before both Houses of Parliament annually, and it would include an assessment of the ability of specific authorities to meet the debts incurred. This would give Parliament oversight of how much debt has been incurred by specific authorities across the country, as well as their ability to repay that debt. The information could then inform future debates and decision-making about the health of local government finances, and it would no doubt be of use to Secretaries of State themselves. I hope the Government will give this amendment their consideration.</w:t>
      </w:r>
    </w:p>
    <w:p/>
    <w:p>
      <w:r>
        <w:rPr>
          <w:b/>
          <w:color w:val="1A4A6E"/>
          <w:sz w:val="22"/>
        </w:rPr>
        <w:t>Lord Shipley</w:t>
      </w:r>
    </w:p>
    <w:p>
      <w:r>
        <w:rPr>
          <w:sz w:val="22"/>
        </w:rPr>
        <w:t>My Lords, I agree with the noble Lord, Lord Jamieson, on this matter, which I have raised on a number of occasions in your Lordships’ House because I have never been clear about who will actually pick up an overspend when one exists. So this partly about the ability to repay debts incurred and partly about who is actually responsible. In other words, are council tax payers of the constituent authorities liable to help to repay debt?</w:t>
      </w:r>
    </w:p>
    <w:p>
      <w:r>
        <w:rPr>
          <w:sz w:val="22"/>
        </w:rPr>
        <w:t>My understanding is that the scrutiny function can now stop this happening in the first place. In other words, one of my concerns about the failure of the scrutiny system has been that it would not be certain that a scrutiny committee would prevent bad financial investment decisions. But what the Government have done by introducing further amendments makes it possible for the overview and scrutiny function to work effectively in that respect.</w:t>
      </w:r>
    </w:p>
    <w:p>
      <w:r>
        <w:rPr>
          <w:sz w:val="22"/>
        </w:rPr>
        <w:t>So I hope the Minister will clarify those matters. I am worried about who is liable for debt and about who is able to authorise substantial expenditure without certainty that a debt can be repaid. But, in the end, will the scrutiny function the Government have now introduced actually prevent the problems the noble Lord, Lord Jamieson, has identified?</w:t>
      </w:r>
    </w:p>
    <w:p/>
    <w:p>
      <w:r>
        <w:rPr>
          <w:b/>
          <w:color w:val="1A4A6E"/>
          <w:sz w:val="22"/>
        </w:rPr>
        <w:t>Baroness Taylor of Stevenage</w:t>
      </w:r>
    </w:p>
    <w:p>
      <w:r>
        <w:rPr>
          <w:sz w:val="22"/>
        </w:rPr>
        <w:t>My Lords, I thank the noble Lord, Lord Jamieson, for this amendment, requiring the Secretary of State to report on strategic authorities’ exercise of powers to borrow money. I recognise that this is a well-intentioned and well-reasoned amendment, but I do not believe the provision is necessary. Like the rest of local government, combined authorities and combined county authorities must operate within the prudential framework. This comprises statutory duties and codes intended to ensure that all borrowing and investment is prudent, affordable and sustainable. The framework already provides robust oversight and accountability. I agree with the noble Lord, Lord Shipley, that pre-scrutiny of key decisions by local accounts committees will also help.</w:t>
      </w:r>
    </w:p>
    <w:p>
      <w:r>
        <w:rPr>
          <w:sz w:val="22"/>
        </w:rPr>
        <w:t>In addition, this amendment contradicts the Bill’s aim of furthering devolution and increasing financial autonomy for these authorities, because it would shift reporting requirements up to central government. For these reasons, the proposed amendment is burdensome and duplicative, and I ask that it be withdrawn.</w:t>
      </w:r>
    </w:p>
    <w:p/>
    <w:p>
      <w:r>
        <w:rPr>
          <w:b/>
          <w:color w:val="1A4A6E"/>
          <w:sz w:val="22"/>
        </w:rPr>
        <w:t>Lord Jamieson</w:t>
      </w:r>
    </w:p>
    <w:p>
      <w:r>
        <w:rPr>
          <w:sz w:val="22"/>
        </w:rPr>
        <w:t>I just have a quick question before I make my closing speech. Local authorities are required to have a Section 151 officer. Will the strategic authority be required to have one?</w:t>
      </w:r>
    </w:p>
    <w:p/>
    <w:p>
      <w:r>
        <w:rPr>
          <w:b/>
          <w:color w:val="1A4A6E"/>
          <w:sz w:val="22"/>
        </w:rPr>
        <w:t>Baroness Taylor of Stevenage</w:t>
      </w:r>
    </w:p>
    <w:p>
      <w:r>
        <w:rPr>
          <w:sz w:val="22"/>
        </w:rPr>
        <w:t>I do not want to give a definitive answer to that from the Dispatch Box, but I think the answer is yes—it would certainly be in accordance with local government accounting procedures and practice for anybody involved in spending local government finance to have the professional assistance of a Section 151 officer. I will reply in further detail to the noble Lord.</w:t>
      </w:r>
    </w:p>
    <w:p/>
    <w:p>
      <w:r>
        <w:rPr>
          <w:b/>
          <w:color w:val="1A4A6E"/>
          <w:sz w:val="22"/>
        </w:rPr>
        <w:t>Lord Jamieson</w:t>
      </w:r>
    </w:p>
    <w:p>
      <w:r>
        <w:rPr>
          <w:sz w:val="22"/>
        </w:rPr>
        <w:t>My Lords, I am very grateful for the Minister’s response on this matter and her continued engagement since Committee. I also thank the noble Lord, Lord Shipley, for his comments.</w:t>
      </w:r>
    </w:p>
    <w:p>
      <w:r>
        <w:rPr>
          <w:sz w:val="22"/>
        </w:rPr>
        <w:t>We will not push this further beyond reminding the House that this is an aspect of local government finance that deserves continued scrutiny and oversight to ensure that authorities can repay the debts incurred through their powers to borrow. I thank noble Lords for their valuable contributions on this first day on Report and thank the Minister for her responses. With that,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