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Viscount Waverley</w:t>
      </w:r>
    </w:p>
    <w:p>
      <w:r>
        <w:rPr>
          <w:sz w:val="20"/>
        </w:rPr>
        <w:t>24 June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https://hansard.parliament.uk/Lords/2025-06-24/debates/7BC98581-B870-46F8-931E-C4619CC26D72/RetirementOfAMemberViscountWaverley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should like to notify the House of the retirement, with effect from 23 June, of the noble Viscount, Lord Waverley, pursuant to Section 1 of the House of Lords Reform Act 2014. On behalf of the House, I thank the noble Viscount for his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