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24 June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https://hansard.parliament.uk/Lords/2025-06-24/debates/4E31953D-A2E1-4233-9EC8-610D28073A05/ArrangementOfBusiness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there have been many cases in recent weeks of noble Lords, during Oral Questions, referring generally to their interests as set out in the register. I want to highlight to colleagues that this is now the incorrect procedure. Following recent changes to the Code of Conduct, noble Lords must now declare financial interests in a specific way. This applies to all types of business, including Oral Questions.</w:t>
      </w:r>
    </w:p>
    <w:p>
      <w:r>
        <w:rPr>
          <w:sz w:val="22"/>
        </w:rPr>
        <w:t>Simply referring to interests as set out in the register is no longer sufficient. For example, if, hypothetically, I am the chief executive of a housing association and I am asking a question about building new social homes, previously when asking that question, I could have said, “I refer the House to my interests as set out in the register”. Now, I would have to say, “My Lords, I declare an interest as the chief executive of X housing association”.</w:t>
      </w:r>
    </w:p>
    <w:p>
      <w:r>
        <w:rPr>
          <w:sz w:val="22"/>
        </w:rPr>
        <w:t>The House authorities helpfully highlighted these changes again to Members in communications issued this week. This change was agreed by the House in March and came into effect in April. I remind all noble Lords of the importance of observing these new rules.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