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24 February 2026  ·  Commons  ·  Proceedings</w:t>
      </w:r>
    </w:p>
    <w:p>
      <w:r>
        <w:rPr>
          <w:b/>
        </w:rPr>
        <w:t xml:space="preserve">Source: </w:t>
      </w:r>
      <w:r>
        <w:rPr>
          <w:sz w:val="20"/>
        </w:rPr>
        <w:t>https://hansard.parliament.uk/Commons/2026-02-24/debates/75C774F1-A88E-4482-86A1-96BFD3BEB037/SpeakersStatement</w:t>
      </w:r>
    </w:p>
    <w:p/>
    <w:p>
      <w:r>
        <w:rPr>
          <w:b/>
          <w:color w:val="1A4A6E"/>
          <w:sz w:val="22"/>
        </w:rPr>
        <w:t>Speaker</w:t>
      </w:r>
    </w:p>
    <w:p>
      <w:r>
        <w:rPr>
          <w:sz w:val="22"/>
        </w:rPr>
        <w:t>Before we begin today’s proceedings, I know that the House will wish to join me in acknowledging that today marks the fourth anniversary of the war in Ukraine. This House has always stood with the people of Ukraine in the face of Russian aggression. We must not forget their continuing fight to stand up for their ideals, which underpin a peaceful, stable and democratic world. Our thoughts are with the people of Ukraine, as well as with our colleagues in the Ukrainian Parliament.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