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24 February 2026  ·  Commons  ·  Proceedings</w:t>
      </w:r>
    </w:p>
    <w:p>
      <w:r>
        <w:rPr>
          <w:b/>
        </w:rPr>
        <w:t xml:space="preserve">Source: </w:t>
      </w:r>
      <w:r>
        <w:rPr>
          <w:sz w:val="20"/>
        </w:rPr>
        <w:t>https://hansard.parliament.uk/Commons/2026-02-24/debates/5D7A50E8-E1A2-4415-8172-E7AB82D590A3/PointOfOrder</w:t>
      </w:r>
    </w:p>
    <w:p/>
    <w:p>
      <w:r>
        <w:rPr>
          <w:b/>
          <w:color w:val="1A4A6E"/>
          <w:sz w:val="22"/>
        </w:rPr>
        <w:t>Gregory Campbell (DUP)</w:t>
      </w:r>
    </w:p>
    <w:p>
      <w:r>
        <w:rPr>
          <w:sz w:val="22"/>
        </w:rPr>
        <w:t>On a point of order, Madam Deputy Speaker. Next week we mark St David’s day, and the relevant flag will fly on the parliamentary estate. Similarly, the relevant symbols fly on St George’s day and St Andrew’s day. However, this does not happen on St Patrick’s day, which occurs in three weeks’ time. I have raised this matter on numerous occasions inside and outside the Chamber. Mr Speaker kindly responded to my latest letter to him and said that responsibility with regard to this issue rests with both the Department for Culture, Media and Sport and the Foreign, Commonwealth and Development Office. I have written to both Departments and am awaiting a response. Has Mr Speaker received any indication from either Department of their intention to come to the House in advance of 17 March to indicate that this issue will be remedied as soon as possible? What might I do if they do not do that?</w:t>
      </w:r>
    </w:p>
    <w:p/>
    <w:p>
      <w:r>
        <w:rPr>
          <w:b/>
          <w:color w:val="1A4A6E"/>
          <w:sz w:val="22"/>
        </w:rPr>
        <w:t>Madam Deputy Speaker</w:t>
      </w:r>
    </w:p>
    <w:p>
      <w:r>
        <w:rPr>
          <w:sz w:val="22"/>
        </w:rPr>
        <w:t>I thank the hon. Member for giving notice of his point of order. I have received no notice from Ministers that they intend to make a statement on this matter. However, Ministers on the Front Bench will have heard his point of order. He is of course free to pursue the matter by other means, including parliamentary questions, on which he may wish to consult the Table Office.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