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rd Speaker’s Statement</w:t>
      </w:r>
    </w:p>
    <w:p>
      <w:r>
        <w:rPr>
          <w:sz w:val="20"/>
        </w:rPr>
        <w:t>24 Febr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4/debates/85DDD7A3-FA6C-4646-842F-7A5941F34D2C/LordSpeakersStatement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before we come to the Statement on the Government’s response to the House of Commons humble Address, I remind the House that various police investigations have been reported in the media in recent days. While none of the cases is currently sub judice, I invite noble Lords to exercise restraint in commenting on specific matters under investigation, and to avoid saying anything that might prejudice those investigation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