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23 March 2026  ·  Commons  ·  Oral Questions</w:t>
      </w:r>
    </w:p>
    <w:p>
      <w:r>
        <w:rPr>
          <w:b/>
        </w:rPr>
        <w:t xml:space="preserve">Policy areas: </w:t>
      </w:r>
      <w:r>
        <w:rPr>
          <w:sz w:val="20"/>
        </w:rPr>
        <w:t>Crime, justice and law, Finance and taxation, Government and public administration, Welfare and benefits</w:t>
      </w:r>
    </w:p>
    <w:p>
      <w:r>
        <w:rPr>
          <w:b/>
        </w:rPr>
        <w:t xml:space="preserve">Topics: </w:t>
      </w:r>
      <w:r>
        <w:rPr>
          <w:sz w:val="20"/>
        </w:rPr>
        <w:t>coercive control, domestic abuse protection orders, economic abuse, perpetrator behaviour change, violence against women</w:t>
      </w:r>
    </w:p>
    <w:p>
      <w:r>
        <w:rPr>
          <w:b/>
        </w:rPr>
        <w:t xml:space="preserve">Source: </w:t>
      </w:r>
      <w:r>
        <w:rPr>
          <w:sz w:val="20"/>
        </w:rPr>
        <w:t>https://hansard.parliament.uk/Commons/2026-03-23/debates/424F7269-F134-4EE7-8E94-BAD96AB85094/ViolenceAgainstWomenAndGirls</w:t>
      </w:r>
    </w:p>
    <w:p/>
    <w:p>
      <w:r>
        <w:rPr>
          <w:b/>
          <w:color w:val="1A4A6E"/>
          <w:sz w:val="22"/>
        </w:rPr>
        <w:t>Catherine Fookes (Lab)</w:t>
      </w:r>
    </w:p>
    <w:p>
      <w:r>
        <w:rPr>
          <w:sz w:val="22"/>
        </w:rPr>
        <w:t>15. What steps she is taking to help tackle violence against women and girls.</w:t>
      </w:r>
    </w:p>
    <w:p/>
    <w:p>
      <w:r>
        <w:rPr>
          <w:b/>
          <w:color w:val="1A4A6E"/>
          <w:sz w:val="22"/>
        </w:rPr>
        <w:t>Jess Phillips (The Parliamentary Under-Secretary of State for the Home Department)</w:t>
      </w:r>
    </w:p>
    <w:p>
      <w:r>
        <w:rPr>
          <w:sz w:val="22"/>
        </w:rPr>
        <w:t>We are delivering the cross-Government freedom from violence and abuse strategy, published in December, which sets out concrete actions for halving VAWG in a decade by preventing violence and abuse, pursuing perpetrators, and supporting victims. As part of that, we have already launched our behaviour change campaign, rolled out domestic abuse protection orders, and embedded domestic abuse specialists in police control rooms under Raneem’s law.</w:t>
      </w:r>
    </w:p>
    <w:p/>
    <w:p>
      <w:r>
        <w:rPr>
          <w:b/>
          <w:color w:val="1A4A6E"/>
          <w:sz w:val="22"/>
        </w:rPr>
        <w:t>Catherine Fookes</w:t>
      </w:r>
    </w:p>
    <w:p>
      <w:r>
        <w:rPr>
          <w:sz w:val="22"/>
        </w:rPr>
        <w:t>Survivors in Monmouthshire tell me that economic abuse not only featured in their relationships, but stopped them rebuilding their lives long after they left. For some, the separation compromised their business. Others face continued control through child maintenance disputes. In what measurable ways will the VAWG strategy tackle economic abuse, and how will progress on that be reported to the House and elsewhere?</w:t>
      </w:r>
    </w:p>
    <w:p/>
    <w:p>
      <w:r>
        <w:rPr>
          <w:b/>
          <w:color w:val="1A4A6E"/>
          <w:sz w:val="22"/>
        </w:rPr>
        <w:t>Jess Phillips</w:t>
      </w:r>
    </w:p>
    <w:p>
      <w:r>
        <w:rPr>
          <w:sz w:val="22"/>
        </w:rPr>
        <w:t>In the launch of the violence against women and girls strategy, I committed to annually updating the House on progress across a number of metrics—both the overarching metrics, and those that sit in different Government Departments, some of which are having to take responsibility for this issue for the first time. On working with the financial sector and regulators, the strategy talks about exploring how financial products, including joint mortgages, can be used as a tool of abuse. We will work with Departments, such as the Treasury, on exactly how we can monitor progress against all our aims, and I will report on that annually.</w:t>
      </w:r>
    </w:p>
    <w:p/>
    <w:p>
      <w:r>
        <w:rPr>
          <w:b/>
          <w:color w:val="1A4A6E"/>
          <w:sz w:val="22"/>
        </w:rPr>
        <w:t>Clive Jones (LD)</w:t>
      </w:r>
    </w:p>
    <w:p>
      <w:r>
        <w:rPr>
          <w:sz w:val="22"/>
        </w:rPr>
        <w:t>One of my constituents suffered such coercive violence that her partner forced her to allow him back into the home. She could not tell anyone, and he continued to assault her daily. She reported the behaviour to the police, but they did very little. He is in prison for less than five years, and authorities are concerned that he will target her again when he is released. What is the Minister doing to ensure that women are properly protected against coercive violence, and that ex-partners face justice, so that we end this awful cycle of violence?</w:t>
      </w:r>
    </w:p>
    <w:p/>
    <w:p>
      <w:r>
        <w:rPr>
          <w:b/>
          <w:color w:val="1A4A6E"/>
          <w:sz w:val="22"/>
        </w:rPr>
        <w:t>Jess Phillips</w:t>
      </w:r>
    </w:p>
    <w:p>
      <w:r>
        <w:rPr>
          <w:sz w:val="22"/>
        </w:rPr>
        <w:t>I send all my sympathy to the hon. Gentleman’s constituent, who sounds like she has had a terrible ordeal. Off the top of my head, one measure that the Government have rolled out is the domestic abuse protection order, which gives police the power of arrest, if it is breached. It is the first domestic abuse order that can be taken out for coercive and controlling behaviour. The evidence so far on the police response to those orders, compared with other orders, has been really heartening. We will roll them out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