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Pollution Prevention and Control (Fees) (Miscellaneous Amendments)  Regulations 2025</w:t>
      </w:r>
    </w:p>
    <w:p>
      <w:r>
        <w:rPr>
          <w:sz w:val="20"/>
        </w:rPr>
        <w:t>23 June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Environment, Finance and taxation</w:t>
      </w:r>
    </w:p>
    <w:p>
      <w:r>
        <w:rPr>
          <w:b/>
        </w:rPr>
        <w:t xml:space="preserve">Topics: </w:t>
      </w:r>
      <w:r>
        <w:rPr>
          <w:sz w:val="20"/>
        </w:rPr>
        <w:t>environmental regulations, pollution control fees, regulatory fees amendments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https://hansard.parliament.uk/Lords/2025-06-23/debates/DDEC2557-5A55-48AE-86D3-0958BF7BB1A6/PollutionPreventionAndControlFeesMiscellaneousAmendmentsRegulations2025</w:t>
      </w:r>
    </w:p>
    <w:p/>
    <w:p>
      <w:r>
        <w:rPr>
          <w:b/>
          <w:color w:val="1A4A6E"/>
          <w:sz w:val="22"/>
        </w:rPr>
        <w:t>Lord Wilson of Sedgefield</w:t>
      </w:r>
    </w:p>
    <w:p>
      <w:r>
        <w:rPr>
          <w:sz w:val="22"/>
        </w:rPr>
        <w:t>That the draft Regulations laid before the House on 22 April be approved. Considered in Grand Committee on 17 June.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