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 Lord Browne of Ladyton</w:t>
      </w:r>
    </w:p>
    <w:p>
      <w:r>
        <w:rPr>
          <w:sz w:val="20"/>
        </w:rPr>
        <w:t>23 February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https://hansard.parliament.uk/Lords/2026-02-23/debates/5A5E2BCC-778F-4DEA-B574-1A1482B6CBBF/RetirementOfAMemberLordBrowneOfLadyton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retirement, with effect from today, of the noble Lord, Lord Browne of Ladyton, pursuant to Section 1 of the House of Lords Reform Act 2014. On behalf of the whole House, I should like to thank the noble Lord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