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Standing Orders (Public Business)</w:t>
      </w:r>
    </w:p>
    <w:p>
      <w:r>
        <w:rPr>
          <w:sz w:val="20"/>
        </w:rPr>
        <w:t>23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https://hansard.parliament.uk/Lords/2026-04-23/debates/D0036D75-EB53-4124-B365-69A37652222F/StandingOrdersPublicBusiness</w:t>
      </w:r>
    </w:p>
    <w:p/>
    <w:p>
      <w:r>
        <w:rPr>
          <w:b/>
          <w:color w:val="1A4A6E"/>
          <w:sz w:val="22"/>
        </w:rPr>
        <w:t>The Senior Deputy Speaker</w:t>
      </w:r>
    </w:p>
    <w:p>
      <w:r>
        <w:rPr>
          <w:sz w:val="22"/>
        </w:rPr>
        <w:t>That the standing orders relating to public business be amended as follows: Delete Standing Orders 3 ( Peers by descent not to be introduced ), 9 ( Hereditary peers: by-elections ), 10 ( Register of hereditary peers ), 77 ( Committees for peerage claims ), 78 ( Claims of peerage ), 79 ( Claims of Irish peerages ), 80 ( Claims of Irish peerages in abeyance ), and 81 ( Report if improper arrangement entered into between co-heirs ). Standing Order 21B ( Temporary exclusion ) Paragraph (6)(c), delete “9 or”. Standing Order 36 ( Balloted and time-limited debates ) Paragraph (1) delete “If a balloted debate or a time limited debate” and insert at the start “If a balloted debate, a time-limited debate or a debate in the Chamber on delegated legislation”.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