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Enterprise Act 2002 (Definition of Newspaper) Order 2025</w:t>
      </w:r>
    </w:p>
    <w:p>
      <w:r>
        <w:rPr>
          <w:sz w:val="20"/>
        </w:rPr>
        <w:t>22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enterprise act 2002, newspaper definition, secondary legislation,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https://hansard.parliament.uk/Lords/2025-07-22/debates/19F70E65-4A4D-4E26-8C2F-2B747D791439/EnterpriseAct2002DefinitionOfNewspaperOrder2025</w:t>
      </w:r>
    </w:p>
    <w:p/>
    <w:p>
      <w:r>
        <w:rPr>
          <w:b/>
          <w:color w:val="1A4A6E"/>
          <w:sz w:val="22"/>
        </w:rPr>
        <w:t>Baroness Twycross</w:t>
      </w:r>
    </w:p>
    <w:p>
      <w:r>
        <w:rPr>
          <w:sz w:val="22"/>
        </w:rPr>
        <w:t>That the draft Order laid before the House on 26 June be approved. Relevant document: 31st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