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Enterprise Act 2002 (Amendment of Section 58 Considerations) Order 2025</w:t>
      </w:r>
    </w:p>
    <w:p>
      <w:r>
        <w:rPr>
          <w:sz w:val="20"/>
        </w:rPr>
        <w:t>22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Economy</w:t>
      </w:r>
    </w:p>
    <w:p>
      <w:r>
        <w:rPr>
          <w:b/>
        </w:rPr>
        <w:t xml:space="preserve">Topics: </w:t>
      </w:r>
      <w:r>
        <w:rPr>
          <w:sz w:val="20"/>
        </w:rPr>
        <w:t>enterprise act 2002, secondary legislation, section 58 considerations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https://hansard.parliament.uk/Lords/2025-07-22/debates/C5815E73-98E4-463A-A7DF-51F8565C7E58/EnterpriseAct2002AmendmentOfSection58ConsiderationsOrder2025</w:t>
      </w:r>
    </w:p>
    <w:p/>
    <w:p>
      <w:r>
        <w:rPr>
          <w:b/>
          <w:color w:val="1A4A6E"/>
          <w:sz w:val="22"/>
        </w:rPr>
        <w:t>Baroness Twycross</w:t>
      </w:r>
    </w:p>
    <w:p>
      <w:r>
        <w:rPr>
          <w:sz w:val="22"/>
        </w:rPr>
        <w:t>That the Order laid before the House on 26 June be approved. Relevant document: 31st Report from the Secondary Legislation Scrutiny Committee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