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21 October 2025  ·  Commons  ·  Proceedings</w:t>
      </w:r>
    </w:p>
    <w:p>
      <w:r>
        <w:rPr>
          <w:b/>
        </w:rPr>
        <w:t xml:space="preserve">Source: </w:t>
      </w:r>
      <w:r>
        <w:rPr>
          <w:sz w:val="20"/>
        </w:rPr>
        <w:t>https://hansard.parliament.uk/Commons/2025-10-21/debates/22ED52D3-A83F-43CF-A30F-F3C0E03C95B3/PointsOfOrder</w:t>
      </w:r>
    </w:p>
    <w:p/>
    <w:p>
      <w:r>
        <w:rPr>
          <w:b/>
          <w:color w:val="1A4A6E"/>
          <w:sz w:val="22"/>
        </w:rPr>
        <w:t>Jeremy Corbyn (Ind)</w:t>
      </w:r>
    </w:p>
    <w:p>
      <w:r>
        <w:rPr>
          <w:sz w:val="22"/>
        </w:rPr>
        <w:t>On a point of order, Mr Speaker. May I invite you to examine column 652 from yesterday’s Hansard , during the exchange about Maccabi Tel Aviv supporters travelling to Aston Villa. In reply to my question, the Secretary of State for Culture, Media and Sport said she agreed with me about the safety of everyone walking the streets, but she went on to say:</w:t>
      </w:r>
    </w:p>
    <w:p>
      <w:r>
        <w:rPr>
          <w:sz w:val="22"/>
        </w:rPr>
        <w:t>“Perhaps he might make that point to the people he now associates with on his left and right, because that is not what we have heard from them in the last few weeks.” —[ Official Report , 20 October 2025; Vol. 773, c. 652.]</w:t>
      </w:r>
    </w:p>
    <w:p>
      <w:r>
        <w:rPr>
          <w:sz w:val="22"/>
        </w:rPr>
        <w:t>There is a suggestion in that that my colleagues have done something other than say that everyone should be able to walk the streets safely in our society. They were concerned about the danger from football supporters acting in a hooliganistic way at the Aston Villa game. I think the Secretary of State should correct what she said—</w:t>
      </w:r>
    </w:p>
    <w:p/>
    <w:p>
      <w:r>
        <w:rPr>
          <w:b/>
          <w:color w:val="1A4A6E"/>
          <w:sz w:val="22"/>
        </w:rPr>
        <w:t>Speaker</w:t>
      </w:r>
    </w:p>
    <w:p>
      <w:r>
        <w:rPr>
          <w:sz w:val="22"/>
        </w:rPr>
        <w:t>Order. Jeremy—come on. You have certainly put your view on the record, but what we will not do is continue the debate. You know that as a long-standing Member of this House who has great respect. I will leave it at that, because you have certainly ensured that we are all aware of that correction.</w:t>
      </w:r>
    </w:p>
    <w:p/>
    <w:p>
      <w:r>
        <w:rPr>
          <w:b/>
          <w:color w:val="1A4A6E"/>
          <w:sz w:val="22"/>
        </w:rPr>
        <w:t>Mims Davies (Con)</w:t>
      </w:r>
    </w:p>
    <w:p>
      <w:r>
        <w:rPr>
          <w:sz w:val="22"/>
        </w:rPr>
        <w:t>On a point of order, Mr Speaker. Following the points made by my right hon. Friend the Member for Salisbury (John Glen), despite the Safeguarding Minister’s best efforts to explain whether she is involved concerning the response to the urgent question that you have granted, Mr Speaker, I am genuinely more confused and think that many constituents will be too. Despite the Minister saying that she is not looking to provide a running commentary, May I ask that she update the House clearly to assist on these matters, so that we can avoid urgent questions such as this one?</w:t>
      </w:r>
    </w:p>
    <w:p/>
    <w:p>
      <w:r>
        <w:rPr>
          <w:b/>
          <w:color w:val="1A4A6E"/>
          <w:sz w:val="22"/>
        </w:rPr>
        <w:t>Speaker</w:t>
      </w:r>
    </w:p>
    <w:p>
      <w:r>
        <w:rPr>
          <w:sz w:val="22"/>
        </w:rPr>
        <w:t>I call the Minister.</w:t>
      </w:r>
    </w:p>
    <w:p/>
    <w:p>
      <w:r>
        <w:rPr>
          <w:b/>
          <w:color w:val="1A4A6E"/>
          <w:sz w:val="22"/>
        </w:rPr>
        <w:t>Jess Phillips (The Parliamentary Under-Secretary of State for the Home Department)</w:t>
      </w:r>
    </w:p>
    <w:p>
      <w:r>
        <w:rPr>
          <w:sz w:val="22"/>
        </w:rPr>
        <w:t>Further to that point of order, Mr Speaker. I am not sure what the hon. Member is confused about. A victims panel was set up to look at both the terms of reference and the appointment of a chair. There is a variety of different groups of people. Some of them have done both; some of them have taken part in just one or the other, usually depending on time and logistics, as she might imagine. That has been managed by an organisation called NWG. I have not taken part in those sessions, other than to feedback on chairs. The feedback on the chair’s appointment comes to me. I do not have to go to that, but I go and sit and listen. Usually, that is the first time I know who has been on the panel, when they have been interviewing chairs. The process is entirely managed. Because of my years of experience, I happen to know quite a lot of the people, and so I do speak to some of the people who are on the panel because I have personal relationships with them and have supported them over the years. I hope that clears that up.</w:t>
      </w:r>
    </w:p>
    <w:p/>
    <w:p>
      <w:r>
        <w:rPr>
          <w:b/>
          <w:color w:val="1A4A6E"/>
          <w:sz w:val="22"/>
        </w:rPr>
        <w:t>Speaker</w:t>
      </w:r>
    </w:p>
    <w:p>
      <w:r>
        <w:rPr>
          <w:sz w:val="22"/>
        </w:rPr>
        <w:t>I thank the Minister for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