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Aviation Safety (Amendment) Regulations 2025</w:t>
      </w:r>
    </w:p>
    <w:p>
      <w:r>
        <w:rPr>
          <w:sz w:val="20"/>
        </w:rPr>
        <w:t>21 October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Transport</w:t>
      </w:r>
    </w:p>
    <w:p>
      <w:r>
        <w:rPr>
          <w:b/>
        </w:rPr>
        <w:t xml:space="preserve">Topics: </w:t>
      </w:r>
      <w:r>
        <w:rPr>
          <w:sz w:val="20"/>
        </w:rPr>
        <w:t>air safety, aviation safety regulations, secondary legislation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https://hansard.parliament.uk/Lords/2025-10-21/debates/6F9BE899-B4D4-42F8-8D78-DB8E884B3A69/AviationSafetyAmendmentRegulations2025</w:t>
      </w:r>
    </w:p>
    <w:p/>
    <w:p>
      <w:r>
        <w:rPr>
          <w:b/>
          <w:color w:val="1A4A6E"/>
          <w:sz w:val="22"/>
        </w:rPr>
        <w:t>Lord Hendy of Richmond Hill</w:t>
      </w:r>
    </w:p>
    <w:p>
      <w:r>
        <w:rPr>
          <w:sz w:val="22"/>
        </w:rPr>
        <w:t>That the draft Regulations laid before the House on 16 July be approved. Relevant document: 34th Report from the Secondary Legislation Scrutiny Committee. Considered in Grand Committee on 15 October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