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Lord Haskel</w:t>
      </w:r>
    </w:p>
    <w:p>
      <w:r>
        <w:rPr>
          <w:sz w:val="20"/>
        </w:rPr>
        <w:t>21 May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https://hansard.parliament.uk/Lords/2026-05-21/debates/8B93299F-908C-4237-909A-FD23003923CD/RetirementOfAMemberLordHaskel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should like to notify the House of the retirement with effect from today of the noble Lord, Lord Haskel, pursuant to Section 1 of the House of Lords Reform Act 2014. On behalf of the House, I should like to thank the noble Lord for his much-valued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