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Electricity Capacity (Amendment) (No. 2) Regulations 2025</w:t>
      </w:r>
    </w:p>
    <w:p>
      <w:r>
        <w:rPr>
          <w:sz w:val="20"/>
        </w:rPr>
        <w:t>21 July 2025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Energy</w:t>
      </w:r>
    </w:p>
    <w:p>
      <w:r>
        <w:rPr>
          <w:b/>
        </w:rPr>
        <w:t xml:space="preserve">Topics: </w:t>
      </w:r>
      <w:r>
        <w:rPr>
          <w:sz w:val="20"/>
        </w:rPr>
        <w:t>electricity capacity regulations, energy company obligation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https://hansard.parliament.uk/Lords/2025-07-21/debates/7E6AA07B-7082-4610-B380-593B616C472B/ElectricityCapacityAmendmentNo2Regulations2025</w:t>
      </w:r>
    </w:p>
    <w:p/>
    <w:p>
      <w:r>
        <w:rPr>
          <w:b/>
          <w:color w:val="1A4A6E"/>
          <w:sz w:val="22"/>
        </w:rPr>
        <w:t>Lord Wilson of Sedgefield</w:t>
      </w:r>
    </w:p>
    <w:p>
      <w:r>
        <w:rPr>
          <w:sz w:val="22"/>
        </w:rPr>
        <w:t>That the draft Regulations laid before the House on 3 and 11 June be approved. Considered in Grand Committee on 16 July 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