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Controlled Drugs (Drug Precursors) (Amendment and Revocation) Regulations 2026</w:t>
      </w:r>
    </w:p>
    <w:p>
      <w:r>
        <w:rPr>
          <w:sz w:val="20"/>
        </w:rPr>
        <w:t>21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</w:t>
      </w:r>
    </w:p>
    <w:p>
      <w:r>
        <w:rPr>
          <w:b/>
        </w:rPr>
        <w:t xml:space="preserve">Topics: </w:t>
      </w:r>
      <w:r>
        <w:rPr>
          <w:sz w:val="20"/>
        </w:rPr>
        <w:t>controlled drugs, drug precursor regulations,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https://hansard.parliament.uk/Lords/2026-04-21/debates/0F111DD1-8FA6-48BD-AB1F-4283A737D6F4/ControlledDrugsDrugPrecursorsAmendmentAndRevocationRegulations2026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Regulations laid before the House on 26 February be approved. Relevant document: 55th Report from the Secondary Legislation Scrutiny Committee (special attention drawn to the instrument)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