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Asylum Seekers (Reception Conditions) (Amendment) Regulations 2026</w:t>
      </w:r>
    </w:p>
    <w:p>
      <w:r>
        <w:rPr>
          <w:sz w:val="20"/>
        </w:rPr>
        <w:t>21 April 2026  ·  Lords  ·  Statutory Instrument</w:t>
      </w:r>
    </w:p>
    <w:p>
      <w:r>
        <w:rPr>
          <w:b/>
        </w:rPr>
        <w:t xml:space="preserve">Policy areas: </w:t>
      </w:r>
      <w:r>
        <w:rPr>
          <w:sz w:val="20"/>
        </w:rPr>
        <w:t>Immigration and borders</w:t>
      </w:r>
    </w:p>
    <w:p>
      <w:r>
        <w:rPr>
          <w:b/>
        </w:rPr>
        <w:t xml:space="preserve">Topics: </w:t>
      </w:r>
      <w:r>
        <w:rPr>
          <w:sz w:val="20"/>
        </w:rPr>
        <w:t>asylum seeker reception conditions, draft regulations, secondary legislation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https://hansard.parliament.uk/Lords/2026-04-21/debates/4EB1830C-1985-4465-80E9-C178D9632400/AsylumSeekersReceptionConditionsAmendmentRegulations2026</w:t>
      </w:r>
    </w:p>
    <w:p/>
    <w:p>
      <w:r>
        <w:rPr>
          <w:b/>
          <w:color w:val="1A4A6E"/>
          <w:sz w:val="22"/>
        </w:rPr>
        <w:t>Lord Hanson of Flint</w:t>
      </w:r>
    </w:p>
    <w:p>
      <w:r>
        <w:rPr>
          <w:sz w:val="22"/>
        </w:rPr>
        <w:t>That the draft Regulations laid before the House on 5 March be approved. Relevant document: 55th Report from the Secondary Legislation Scrutiny Committee (special attention drawn to the instrument )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