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21 April 2026  ·  Lords  ·  Proceedings</w:t>
      </w:r>
    </w:p>
    <w:p>
      <w:r>
        <w:rPr>
          <w:b/>
        </w:rPr>
        <w:t xml:space="preserve">Source: </w:t>
      </w:r>
      <w:r>
        <w:rPr>
          <w:sz w:val="20"/>
        </w:rPr>
        <w:t>https://hansard.parliament.uk/Lords/2026-04-21/debates/9A88785F-7C8F-4FDC-B871-F715FDF0CD4D/ArrangementOfBusiness</w:t>
      </w:r>
    </w:p>
    <w:p/>
    <w:p>
      <w:r>
        <w:rPr>
          <w:b/>
          <w:color w:val="1A4A6E"/>
          <w:sz w:val="22"/>
        </w:rPr>
        <w:t>Captain of the Honourable Corps of Gentlemen-at-Arms and Chief Whip (Lab Co-op)</w:t>
      </w:r>
    </w:p>
    <w:p>
      <w:r>
        <w:rPr>
          <w:sz w:val="22"/>
        </w:rPr>
        <w:t>My Lords, I was hoping for a larger audience. Before we commence today’s next business, I want to briefly update the House on the plan for tomorrow. After Oral Questions, the House will consider the message from the House of Commons on the Crime and Policing Bill. The QSD, led by the noble Baroness, Lady McIntosh of Pickering, will then be considered immediately. In the course of tomorrow, the House will receive a message from the Commons on the Pension Schemes Bill. It will be considered as soon as possible after the QSD, but it may be necessary for the House to adjourn during pleasure for a short time while everything in for ping-pong is prepared. Once the message has arrived and is available in the Printed Paper Office, noble Lords will have one hour to table any Motions. The precise deadline for tabling will be advertised on the annunciator and via the usual channels once it is known.</w:t>
      </w:r>
    </w:p>
    <w:p>
      <w:r>
        <w:rPr>
          <w:sz w:val="22"/>
        </w:rPr>
        <w:t>I would, however, strongly encourage any noble Lords considering tabling to discuss this in advance with the Public Bill Office. After the tabling deadline has passed, the Public Bill Office will produce a Marshalled List, and the usual briefings will be needed some time after that. The precise time we expect to commence the debate on the Bill will therefore be advertised on the annunciator and via the usual channels, as soon as it is known. I will update the House further tomorrow. I will also now arrange for an email to be sent today to every Member—I had hoped that we would have had a larger audience when I made this announcement.</w:t>
      </w:r>
    </w:p>
    <w:p/>
    <w:p>
      <w:r>
        <w:rPr>
          <w:b/>
          <w:color w:val="1A4A6E"/>
          <w:sz w:val="22"/>
        </w:rPr>
        <w:t>The Deputy Speaker (Lab)</w:t>
      </w:r>
    </w:p>
    <w:p>
      <w:r>
        <w:rPr>
          <w:sz w:val="22"/>
        </w:rPr>
        <w:t>My Lords, I apologise to the House for denying the Chief Whip the audience that his message deserved.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