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Companies (Directors’ Report) (Payment Reporting) Regulations 2025</w:t>
      </w:r>
    </w:p>
    <w:p>
      <w:r>
        <w:rPr>
          <w:sz w:val="20"/>
        </w:rPr>
        <w:t>20 October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Finance and taxation</w:t>
      </w:r>
    </w:p>
    <w:p>
      <w:r>
        <w:rPr>
          <w:b/>
        </w:rPr>
        <w:t xml:space="preserve">Topics: </w:t>
      </w:r>
      <w:r>
        <w:rPr>
          <w:sz w:val="20"/>
        </w:rPr>
        <w:t>company directors' reports, company reporting regulations, directors' report payments, payment reporting, payment reporting regulations, statutory instrument approval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https://hansard.parliament.uk/Lords/2025-10-20/debates/E5C0B9A1-2E08-4138-BB7D-D409F28625E8/CompaniesDirectorsReportPaymentReportingRegulations2025</w:t>
      </w:r>
    </w:p>
    <w:p/>
    <w:p>
      <w:r>
        <w:rPr>
          <w:b/>
          <w:color w:val="1A4A6E"/>
          <w:sz w:val="22"/>
        </w:rPr>
        <w:t>Lord Leong</w:t>
      </w:r>
    </w:p>
    <w:p>
      <w:r>
        <w:rPr>
          <w:sz w:val="22"/>
        </w:rPr>
        <w:t>That the draft Regulations laid before the House on 17 July be approved. Considered in Grand Committee on 15 October.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