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Connectivity</w:t>
      </w:r>
    </w:p>
    <w:p>
      <w:r>
        <w:rPr>
          <w:sz w:val="20"/>
        </w:rPr>
        <w:t>20 November 2025  ·  Commons  ·  Oral Questions</w:t>
      </w:r>
    </w:p>
    <w:p>
      <w:r>
        <w:rPr>
          <w:b/>
        </w:rPr>
        <w:t xml:space="preserve">Policy areas: </w:t>
      </w:r>
      <w:r>
        <w:rPr>
          <w:sz w:val="20"/>
        </w:rPr>
        <w:t>Economy, Transport</w:t>
      </w:r>
    </w:p>
    <w:p>
      <w:r>
        <w:rPr>
          <w:b/>
        </w:rPr>
        <w:t xml:space="preserve">Topics: </w:t>
      </w:r>
      <w:r>
        <w:rPr>
          <w:sz w:val="20"/>
        </w:rPr>
        <w:t>economic growth, rail connectivity improvements, rail network funding, reducing travel times, reinstating railway links</w:t>
      </w:r>
    </w:p>
    <w:p>
      <w:r>
        <w:rPr>
          <w:b/>
        </w:rPr>
        <w:t xml:space="preserve">Source: </w:t>
      </w:r>
      <w:r>
        <w:rPr>
          <w:sz w:val="20"/>
        </w:rPr>
        <w:t>https://hansard.parliament.uk/Commons/2025-11-20/debates/F98388BB-2422-4E23-AC79-9AA65ED5F332/RailConnectivity</w:t>
      </w:r>
    </w:p>
    <w:p/>
    <w:p>
      <w:r>
        <w:rPr>
          <w:b/>
          <w:color w:val="1A4A6E"/>
          <w:sz w:val="22"/>
        </w:rPr>
        <w:t>Lorraine Beavers (Lab)</w:t>
      </w:r>
    </w:p>
    <w:p>
      <w:r>
        <w:rPr>
          <w:sz w:val="22"/>
        </w:rPr>
        <w:t>15. What steps she is taking to improve rail connectivity.</w:t>
      </w:r>
    </w:p>
    <w:p/>
    <w:p>
      <w:r>
        <w:rPr>
          <w:b/>
          <w:color w:val="1A4A6E"/>
          <w:sz w:val="22"/>
        </w:rPr>
        <w:t>Lilian Greenwood (The Parliamentary Under-Secretary of State for Transport)</w:t>
      </w:r>
    </w:p>
    <w:p>
      <w:r>
        <w:rPr>
          <w:sz w:val="22"/>
        </w:rPr>
        <w:t>We are committed to providing a rail network that delivers reliable connections for people and unlocks growth across the country. In addition to building High Speed 2, we are providing £10.2 billion over the spending review period to enhance the railway, reducing congestion and travel times, and connecting more people to work, education, retail and services.</w:t>
      </w:r>
    </w:p>
    <w:p/>
    <w:p>
      <w:r>
        <w:rPr>
          <w:b/>
          <w:color w:val="1A4A6E"/>
          <w:sz w:val="22"/>
        </w:rPr>
        <w:t>Lorraine Beavers</w:t>
      </w:r>
    </w:p>
    <w:p>
      <w:r>
        <w:rPr>
          <w:sz w:val="22"/>
        </w:rPr>
        <w:t>The cul-de-sac of Thornton and Fleetwood in my constituency once had a rail line that served the local community well. Now, there is only one main route in and out by road. It is acknowledged that lack of connectivity is a determinant of health, wealth and educational inequality. Will the Minister meet me to talk about reinstating the Fleetwood to Poulton railway link to open up opportunities for the people in my community?</w:t>
      </w:r>
    </w:p>
    <w:p/>
    <w:p>
      <w:r>
        <w:rPr>
          <w:b/>
          <w:color w:val="1A4A6E"/>
          <w:sz w:val="22"/>
        </w:rPr>
        <w:t>Lilian Greenwood</w:t>
      </w:r>
    </w:p>
    <w:p>
      <w:r>
        <w:rPr>
          <w:sz w:val="22"/>
        </w:rPr>
        <w:t>My hon. Friend is a great champion for her community. The Rail Minister has said that he will be happy to meet her to discuss the benefits and challenges of that project. She will know that we have had to prioritise funding during this spending review, and I am afraid that currently none is allocated to this project, but it is for Lancashire combined county authority to consider developing the proposal further. I am sure the Rail Minister will be happy to talk to her about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