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Merchant Shipping (Marine Equipment) Regulations 2025</w:t>
      </w:r>
    </w:p>
    <w:p>
      <w:r>
        <w:rPr>
          <w:sz w:val="20"/>
        </w:rPr>
        <w:t>20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Trade, Transport</w:t>
      </w:r>
    </w:p>
    <w:p>
      <w:r>
        <w:rPr>
          <w:b/>
        </w:rPr>
        <w:t xml:space="preserve">Topics: </w:t>
      </w:r>
      <w:r>
        <w:rPr>
          <w:sz w:val="20"/>
        </w:rPr>
        <w:t>marine equipment regulations, maritime industry compliance, maritime industry standards, merchant shipping safety, shipping safety standards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https://hansard.parliament.uk/Lords/2025-11-20/debates/A2C44C6B-9907-408E-BBA2-E884AAFA75F7/MerchantShippingMarineEquipmentRegulations2025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Regulations laid before the House on 14 October be approved. Considered in Grand Committee on 19 November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