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Merchant Shipping (Marine Equipment) Regulations 2025</w:t>
      </w:r>
    </w:p>
    <w:p>
      <w:r>
        <w:rPr>
          <w:sz w:val="20"/>
        </w:rPr>
        <w:t>20 November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Trade, Transport</w:t>
      </w:r>
    </w:p>
    <w:p>
      <w:r>
        <w:rPr>
          <w:b/>
        </w:rPr>
        <w:t xml:space="preserve">Topics: </w:t>
      </w:r>
      <w:r>
        <w:rPr>
          <w:sz w:val="20"/>
        </w:rPr>
        <w:t>marine equipment regulations, maritime industry compliance, maritime industry standards, merchant shipping safety, shipping safety standards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https://hansard.parliament.uk/Lords/2025-11-20/debates/A2C44C6B-9907-408E-BBA2-E884AAFA75F7/MerchantShippingMarineEquipmentRegulations2025</w:t>
      </w:r>
    </w:p>
    <w:p/>
    <w:p>
      <w:r>
        <w:rPr>
          <w:b/>
          <w:color w:val="1A4A6E"/>
          <w:sz w:val="22"/>
        </w:rPr>
        <w:t>Lord Hendy of Richmond Hill</w:t>
      </w:r>
    </w:p>
    <w:p>
      <w:r>
        <w:rPr>
          <w:sz w:val="22"/>
        </w:rPr>
        <w:t>That the draft Regulations laid before the House on 14 October be approved. Considered in Grand Committee on 19 November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