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Broadcasting (Independent Productions) Regulations 2025</w:t>
      </w:r>
    </w:p>
    <w:p>
      <w:r>
        <w:rPr>
          <w:sz w:val="20"/>
        </w:rPr>
        <w:t>20 November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Government and public administration,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broadcasting regulations, football governance, independent productions, programme making, regional programme making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https://hansard.parliament.uk/Lords/2025-11-20/debates/92716DEB-7442-4635-A3D6-633F9E800B4E/BroadcastingIndependentProductionsRegulations2025</w:t>
      </w:r>
    </w:p>
    <w:p/>
    <w:p>
      <w:r>
        <w:rPr>
          <w:b/>
          <w:color w:val="1A4A6E"/>
          <w:sz w:val="22"/>
        </w:rPr>
        <w:t>Baroness Twycross</w:t>
      </w:r>
    </w:p>
    <w:p>
      <w:r>
        <w:rPr>
          <w:sz w:val="22"/>
        </w:rPr>
        <w:t>That the draft Regulations laid before the House on 13 October be approved. Relevant document: 39th Report from the Secondary Legislation Committee. Considered in Grand Committee on 18 and 19 November.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