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Inclusion</w:t>
      </w:r>
    </w:p>
    <w:p>
      <w:r>
        <w:rPr>
          <w:sz w:val="20"/>
        </w:rPr>
        <w:t>20 May 2026  ·  Commons  ·  Oral Questions</w:t>
      </w:r>
    </w:p>
    <w:p>
      <w:r>
        <w:rPr>
          <w:b/>
        </w:rPr>
        <w:t xml:space="preserve">Policy areas: </w:t>
      </w:r>
      <w:r>
        <w:rPr>
          <w:sz w:val="20"/>
        </w:rPr>
        <w:t>Education, training and skills, Government and public administration, Society and culture</w:t>
      </w:r>
    </w:p>
    <w:p>
      <w:r>
        <w:rPr>
          <w:b/>
        </w:rPr>
        <w:t xml:space="preserve">Topics: </w:t>
      </w:r>
      <w:r>
        <w:rPr>
          <w:sz w:val="20"/>
        </w:rPr>
        <w:t>bridging digital divide, digital id work, digital inclusion action plan, digital inclusion innovation fund, support grassroots organisations</w:t>
      </w:r>
    </w:p>
    <w:p>
      <w:r>
        <w:rPr>
          <w:b/>
        </w:rPr>
        <w:t xml:space="preserve">Source: </w:t>
      </w:r>
      <w:r>
        <w:rPr>
          <w:sz w:val="20"/>
        </w:rPr>
        <w:t>https://hansard.parliament.uk/Commons/2026-05-20/debates/3D2A4B9C-1963-4CE8-88A8-5D81423328A6/DigitalInclusion</w:t>
      </w:r>
    </w:p>
    <w:p/>
    <w:p>
      <w:r>
        <w:rPr>
          <w:b/>
          <w:color w:val="1A4A6E"/>
          <w:sz w:val="22"/>
        </w:rPr>
        <w:t>Josh Babarinde (LD)</w:t>
      </w:r>
    </w:p>
    <w:p>
      <w:r>
        <w:rPr>
          <w:sz w:val="22"/>
        </w:rPr>
        <w:t>3. What steps she is taking to support grassroot organisations working to improve digital inclusion.</w:t>
      </w:r>
    </w:p>
    <w:p/>
    <w:p>
      <w:r>
        <w:rPr>
          <w:b/>
          <w:color w:val="1A4A6E"/>
          <w:sz w:val="22"/>
        </w:rPr>
        <w:t>Mr James Frith (The Parliamentary Under-Secretary of State for Science, Innovation and Technology)</w:t>
      </w:r>
    </w:p>
    <w:p>
      <w:r>
        <w:rPr>
          <w:sz w:val="22"/>
        </w:rPr>
        <w:t>The Labour Government are the first in a decade to publish a digital inclusion action plan, to ensure that everybody benefits from our digital society. Seventy-three per cent of the £11.9 million digital inclusion innovation fund supported charities, many of them grassroots organisations. Through the digital ID work that I lead, we are supporting digital inclusion, and we are engaging expert grassroots organisations directly to ensure that we get this right, and that they are included.</w:t>
      </w:r>
    </w:p>
    <w:p/>
    <w:p>
      <w:r>
        <w:rPr>
          <w:b/>
          <w:color w:val="1A4A6E"/>
          <w:sz w:val="22"/>
        </w:rPr>
        <w:t>Josh Babarinde</w:t>
      </w:r>
    </w:p>
    <w:p>
      <w:r>
        <w:rPr>
          <w:sz w:val="22"/>
        </w:rPr>
        <w:t>NHS Sussex found that Eastbourne, despite being the sunniest town in the UK, is one of the most digitally excluded patches of Sussex. Great organisations, such as TechResort, run by Liz Crew and Will Callaghan, help bridge the digital divide. However, they will be scuppered by the closing of the digital inclusion innovation fund; its last grant expired last month. Will the Minister commit to reviewing the reopening of that fund, and set out a timeline for that, so that TechResort can benefit?</w:t>
      </w:r>
    </w:p>
    <w:p/>
    <w:p>
      <w:r>
        <w:rPr>
          <w:b/>
          <w:color w:val="1A4A6E"/>
          <w:sz w:val="22"/>
        </w:rPr>
        <w:t>Frith</w:t>
      </w:r>
    </w:p>
    <w:p>
      <w:r>
        <w:rPr>
          <w:sz w:val="22"/>
        </w:rPr>
        <w:t>The hon. Gentleman raises a very important point; I know that he has an excellent record in this area. The digital inclusion fund was designed as a one-year programme to allow us to understand what works in digital inclusion. I share his concerns. We remain committed to building a digitally inclusive society, and that includes our public services, which we are making more personalised, joined up and digital, so that everybody is included and benefits from them. We all expect our public services to be adequate, and as inclusive as they can be.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