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Bill [HL]</w:t>
      </w:r>
    </w:p>
    <w:p>
      <w:r>
        <w:rPr>
          <w:sz w:val="20"/>
        </w:rPr>
        <w:t>20 July 2026  ·  Lords  ·  Debate</w:t>
      </w:r>
    </w:p>
    <w:p>
      <w:r>
        <w:rPr>
          <w:b/>
        </w:rPr>
        <w:t xml:space="preserve">Policy areas: </w:t>
      </w:r>
      <w:r>
        <w:rPr>
          <w:sz w:val="20"/>
        </w:rPr>
        <w:t>Housing and planning, Welfare and benefits</w:t>
      </w:r>
    </w:p>
    <w:p>
      <w:r>
        <w:rPr>
          <w:b/>
        </w:rPr>
        <w:t xml:space="preserve">Topics: </w:t>
      </w:r>
      <w:r>
        <w:rPr>
          <w:sz w:val="20"/>
        </w:rPr>
        <w:t>qualifying period, replacement homes, right to buy, secure tenancies, social housing</w:t>
      </w:r>
    </w:p>
    <w:p>
      <w:r>
        <w:rPr>
          <w:b/>
        </w:rPr>
        <w:t xml:space="preserve">Source: </w:t>
      </w:r>
      <w:r>
        <w:rPr>
          <w:sz w:val="20"/>
        </w:rPr>
        <w:t>https://hansard.parliament.uk/Lords/2026-07-20/debates/DFD1EBF5-4794-4D2B-B380-1825676FCFCB/SocialHousingBillHl</w:t>
      </w:r>
    </w:p>
    <w:p/>
    <w:p>
      <w:r>
        <w:rPr>
          <w:b/>
          <w:color w:val="1A4A6E"/>
          <w:sz w:val="22"/>
        </w:rPr>
        <w:t>Lord Jamieson</w:t>
      </w:r>
    </w:p>
    <w:p>
      <w:r>
        <w:rPr>
          <w:sz w:val="22"/>
        </w:rPr>
        <w:t>My Lords, we begin with the amendment standing in my name and that of my noble friend Lady O’Neill of Bexley. As we discussed in Committee, the right to buy has brought transformational benefits for 2 million families across the country. I do not wish to focus on the benefits to those who access right to buy, as I believe that case is inarguable, but rather I wish to debunk the argument against right to buy, which has focused on the loss of social housing.</w:t>
      </w:r>
    </w:p>
    <w:p>
      <w:r>
        <w:rPr>
          <w:sz w:val="22"/>
        </w:rPr>
        <w:t>Let me first be clear that we believe in one-for-one replacement or better, which was why I was pleased that the last Conservative Government introduced 100% retention of right-to-buy proceeds, which enabled councils, including my own, Central Bedfordshire, to deliver more council housing than was lost through right to buy. If this could spread across the country, there would be no loss of social housing. This should be the focus of the Government: delivering one-for-one replacement, not seeking to deny the opportunity to some of our most disadvantaged families to own their own home, which has proven to be one of the greatest mechanisms for social mobility in this country.</w:t>
      </w:r>
    </w:p>
    <w:p>
      <w:r>
        <w:rPr>
          <w:sz w:val="22"/>
        </w:rPr>
        <w:t>I turn to why right to buy can increase access to social housing. Some might find this counterintuitive, so forgive me if I get a little into the weeds. I refer to the Government’s impact statement, in particular to table four on page 24, which shows that, in 2026-27, the pre-November 2024 baseline was 8,050 right-to-buy sales supporting some 5,450 replacement homes. That is the “do nothing” scenario. It also shows that, once the restrictions are fully in place from this Bill and the legacy impacts wind down in the period 2031 to 2035, annual right-to-buy sales are projected to fall to around 1,100 a year, with around 1,450 replacement homes.</w:t>
      </w:r>
    </w:p>
    <w:p>
      <w:r>
        <w:rPr>
          <w:sz w:val="22"/>
        </w:rPr>
        <w:t>I applaud the Government’s ambition for one-for-one replacement—in fact, rather better than that—but, despite that, by the Government’s own analysis, there will be 4,000 fewer new social homes funded every year, or 6,600 if there were a one-for-one replacement. The Minister has argued that more social homes will be retained and, yes, there will be around 3,000 per year. Notwithstanding that this assumes a failure to deliver one-for-one replacement, I would like to examine the impact of this figure, because it ignores a critical factor. Retaining a social home does not mean that it is available for a new tenant. The family still live there; it is just that they have been denied the opportunity to own their own home.</w:t>
      </w:r>
    </w:p>
    <w:p>
      <w:r>
        <w:rPr>
          <w:sz w:val="22"/>
        </w:rPr>
        <w:t>Based on figures from the House of Lords Library, around a net 3% of social homes become available each year for new tenancies, so, of the 3,000 additional homes that are retained, only around 90 would be available each year for a new tenant. Compare that with the 4,000 new social homes if the current right to buy were to continue. The cumulative impact over 10 years would be 35,000 fewer families having the opportunity to own their own social home and, if the Government focused on one-for-one replacement, 65,000 families. As we discussed in Committee, when we are having a housing crisis, this will result in 4,000 fewer homes being delivered every year. Can the Minister explain how denying a home to 4,000 families a year fits with the Prime Minister’s announcement this afternoon about eliminating homelessness?</w:t>
      </w:r>
    </w:p>
    <w:p>
      <w:r>
        <w:rPr>
          <w:sz w:val="22"/>
        </w:rPr>
        <w:t>That is why we have tabled amendments which seek to retain important features of the existing framework, including qualifying arrangements, discount provisions and other safeguards that have formed part of the scheme for many years. Amendments 1 and 2 would protect those who are already secure tenants when the legislation comes into force. The principle is straightforward: existing tenants accepted their tenancy with a legitimate expectation that, after three years, they would become eligible for right to buy under current arrangements. It is one thing to change arrangements for future tenants; it is quite another to make retrospective changes for existing tenants. This is about fairness and a fair transition.</w:t>
      </w:r>
    </w:p>
    <w:p>
      <w:r>
        <w:rPr>
          <w:sz w:val="22"/>
        </w:rPr>
        <w:t>Finally, Amendment 6 is in my name and that of my noble friend Lady O’Neill of Bexley. The Government are proposing to retain a right of first refusal in perpetuity for the local council whenever a right-to-buy property is sold by the owner. The current position is 10 years, which seems proportionate. Perpetuity is a very long time. This raises multiple questions about inheritance, redevelopment, long-term blight and evidencing many years after the event that you actually did offer it. This is bad law and risks inevitable problems for the future.</w:t>
      </w:r>
    </w:p>
    <w:p>
      <w:r>
        <w:rPr>
          <w:sz w:val="22"/>
        </w:rPr>
        <w:t>There is a simple choice before us. Do we support aspiration? Do we support the opportunity for families to own their own home? Do we support increasing the availability of social housing for those on council waiting lists? Do we support building more homes in a period of housing crisis? Or, for ideological reasons, will the Members opposite deny tenants the opportunity of home ownership? Will they deny those on council waiting lists the opportunity of a secure and affordable social home, while cutting housebuilding? We should not seek to stop right to buy. The better approach would be to strengthen replacement, reinvestment and local delivery. I beg to move and look forward to the Minister’s response.</w:t>
      </w:r>
    </w:p>
    <w:p/>
    <w:p>
      <w:r>
        <w:rPr>
          <w:b/>
          <w:color w:val="1A4A6E"/>
          <w:sz w:val="22"/>
        </w:rPr>
        <w:t>Lord Cameron of Dillington</w:t>
      </w:r>
    </w:p>
    <w:p>
      <w:r>
        <w:rPr>
          <w:sz w:val="22"/>
        </w:rPr>
        <w:t>My Lords, I have Amendment 7 in this group and must once again refer to my interests as a retired member of a Somerset farming family which lets some houses on the farm.</w:t>
      </w:r>
    </w:p>
    <w:p>
      <w:r>
        <w:rPr>
          <w:sz w:val="22"/>
        </w:rPr>
        <w:t>During the passage of this Bill, I have explained how the shortage of affordable housing to rent in rural areas has had and continues to have long-term social and economic consequences for our communities. It has led to school, shop and pub closures and reductions in transport and other services—quite apart from the effect on the viability of local businesses. Traditional family and social networks have collapsed, and all this has been caused by a lack of affordable housing to rent in our countryside. We must protect this stock, both where it remains and where, hopefully, it is soon to be added to. I will not say any more about all this because your Lordships have heard it all before and I have had support from noble Lords on all sides of the House.</w:t>
      </w:r>
    </w:p>
    <w:p>
      <w:r>
        <w:rPr>
          <w:sz w:val="22"/>
        </w:rPr>
        <w:t>I thank the Minister and her team for meeting to discuss our concerns about how the strict interpretation in how Section 157 of the 1985 Housing Act was implemented resulted in over 60% of rural parishes being excluded from the exemption to the right to buy. Thus 60% of all rural parishes remained exposed to the near certainty of losing their council houses—and they did. We must not let this happen again. The problem was, and remains, that in the 1985 Act, Section 157 regulations require that local authorities apply to the Secretary of State for rural area designation of their rural parishes: that is, parishes that have a population below 3,000, with less than two persons per hectare. The problem was and is that few local authorities applied. Most local authorities did not realise that this was a requirement, had transferred their stock to a registered provider or did not have the resources to put together the necessary evidence. The point is that they did not apply and therefore we lost 60% of conforming rural parishes.</w:t>
      </w:r>
    </w:p>
    <w:p>
      <w:r>
        <w:rPr>
          <w:sz w:val="22"/>
        </w:rPr>
        <w:t>At our meeting with the Minister and her team, we all agreed that this must not happen again—hence my amendment, which I tabled in Committee and repeat here. We also agreed that it was not strictly necessary for the definition of a designated rural area to be in the Bill. Therefore, I agreed not to press my amendment to a vote, provided we had some sort of undertaking that, at least in the short term, all parishes that fitted the criteria could be included, whether or not their local authority had made an application following the 1985 Act. It would be unfortunate, to say the least, if the Government merely rolled over the post-1985 list of parishes with designated rural area status. I am counting on the Minister to reassure me on that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