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Peter Mandelson Appointment</w:t>
      </w:r>
    </w:p>
    <w:p>
      <w:r>
        <w:rPr>
          <w:sz w:val="20"/>
        </w:rPr>
        <w:t>20 April 2026  ·  Commons  ·  Proceedings</w:t>
      </w:r>
    </w:p>
    <w:p>
      <w:r>
        <w:rPr>
          <w:b/>
        </w:rPr>
        <w:t xml:space="preserve">Source: </w:t>
      </w:r>
      <w:r>
        <w:rPr>
          <w:sz w:val="20"/>
        </w:rPr>
        <w:t>https://hansard.parliament.uk/Commons/2026-04-20/debates/712CD477-B4C0-497F-8EF3-ACB675755556/PeterMandelsonAppointment</w:t>
      </w:r>
    </w:p>
    <w:p/>
    <w:p>
      <w:r>
        <w:rPr>
          <w:b/>
          <w:color w:val="1A4A6E"/>
          <w:sz w:val="22"/>
        </w:rPr>
        <w:t>Kemi Badenoch (Con)</w:t>
      </w:r>
    </w:p>
    <w:p>
      <w:r>
        <w:rPr>
          <w:sz w:val="22"/>
        </w:rPr>
        <w:t>Mr Speaker, I seek leave to propose that the House debate a specific and important matter that should have urgent consideration—namely, that this House has considered the matter of the Government’s accountability to the House in connection to the appointment of Peter Mandelson. This is a matter of national security, because the Prime Minister has admitted appointing a known serious security risk to our most sensitive diplomatic post. This goes beyond Mandelson’s close relationship to a convicted paedophile. Today I raised deeply concerning ties to the Kremlin and China, which the Prime Minister admitted he knew about before the appointment.</w:t>
      </w:r>
    </w:p>
    <w:p>
      <w:r>
        <w:rPr>
          <w:sz w:val="22"/>
        </w:rPr>
        <w:t>Despite the Prime Minister’s statement today, there remain serious questions about what he knew and when. He has hidden behind process at every turn and failed to take responsibility. It is quite clear that the spirit and letter of the Humble Address, which this House voted for, have not been met. That is disrespectful to this House. There remain serious inconsistencies in the Government’s position, inconsistencies with the accounts of officials involved in the process, and inconsistencies with the Members of this House and journalists who sought to scrutinise the appointment at the time.</w:t>
      </w:r>
    </w:p>
    <w:p>
      <w:r>
        <w:rPr>
          <w:sz w:val="22"/>
        </w:rPr>
        <w:t>There are also questions to be asked about the Prime Minister repeatedly sacking senior civil servants, on a whim, for his own decisions, and leaving the taxpayer with financial liabilities. The British public deserve to know the truth. Members on all sides were not satisfied with the answers the Prime Minister gave today. I even gave him my questions in advance and still I did not get proper answers. Tomorrow, the former permanent secretary of the Foreign Office will appear in Parliament. The House should also have the chance to debate what he says at the earliest opportunity. That is why the House should be able to debate this before the forthcoming Prorogation.</w:t>
      </w:r>
    </w:p>
    <w:p>
      <w:r>
        <w:rPr>
          <w:sz w:val="22"/>
        </w:rPr>
        <w:t>At its core, this matter pertains to the Prime Minister’s catastrophic judgment. It pertains to his lack of grip and his failure to ask the relevant questions. It would be unfair of him to palm this debate off on to a junior Minister who does not have the information and did not take the decision. This whole saga has been about the Prime Minister’s leadership. A real leader would come here and answer these questions himself.</w:t>
      </w:r>
    </w:p>
    <w:p/>
    <w:p>
      <w:r>
        <w:rPr>
          <w:b/>
          <w:color w:val="1A4A6E"/>
          <w:sz w:val="22"/>
        </w:rPr>
        <w:t>Speaker</w:t>
      </w:r>
    </w:p>
    <w:p>
      <w:r>
        <w:rPr>
          <w:sz w:val="22"/>
        </w:rPr>
        <w:t>The right hon. Member asks for leave to propose a debate on a specific and important matter that should have urgent consideration—namely, the Government’s accountability to the House in connection with the appointment of Peter Mandelson as ambassador to the United States of America. I have listened carefully to the application from the Leader of the Opposition. I am satisfied that the matter raised is proper to be discussed under Standing Order No. 24. Does the right hon. Member have the leave of the House?</w:t>
      </w:r>
    </w:p>
    <w:p>
      <w:r>
        <w:rPr>
          <w:sz w:val="22"/>
        </w:rPr>
        <w:t>Application agreed to.</w:t>
      </w:r>
    </w:p>
    <w:p/>
    <w:p>
      <w:r>
        <w:rPr>
          <w:b/>
          <w:color w:val="1A4A6E"/>
          <w:sz w:val="22"/>
        </w:rPr>
        <w:t>Speaker</w:t>
      </w:r>
    </w:p>
    <w:p>
      <w:r>
        <w:rPr>
          <w:sz w:val="22"/>
        </w:rPr>
        <w:t>As there is no objection, the right hon. Member has obtained the leave of the House. The debate will be held tomorrow as the first item of public business. The debate will last for up to three hours and will arise on a motion that the House has considered the specific matter set out in the right hon. Member’s application.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