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Falling School Rolls</w:t>
      </w:r>
    </w:p>
    <w:p>
      <w:r>
        <w:rPr>
          <w:sz w:val="20"/>
        </w:rPr>
        <w:t>20 April 2026  ·  Commons  ·  Oral Questions</w:t>
      </w:r>
    </w:p>
    <w:p>
      <w:r>
        <w:rPr>
          <w:b/>
        </w:rPr>
        <w:t xml:space="preserve">Policy areas: </w:t>
      </w:r>
      <w:r>
        <w:rPr>
          <w:sz w:val="20"/>
        </w:rPr>
        <w:t>Education, training and skills, Housing and planning, Local government</w:t>
      </w:r>
    </w:p>
    <w:p>
      <w:r>
        <w:rPr>
          <w:b/>
        </w:rPr>
        <w:t xml:space="preserve">Topics: </w:t>
      </w:r>
      <w:r>
        <w:rPr>
          <w:sz w:val="20"/>
        </w:rPr>
        <w:t>demographic change, falling school rolls, rural schools, school funding, school place planning</w:t>
      </w:r>
    </w:p>
    <w:p>
      <w:r>
        <w:rPr>
          <w:b/>
        </w:rPr>
        <w:t xml:space="preserve">Source: </w:t>
      </w:r>
      <w:r>
        <w:rPr>
          <w:sz w:val="20"/>
        </w:rPr>
        <w:t>https://hansard.parliament.uk/Commons/2026-04-20/debates/6EF55EF5-FBE8-4DC2-8459-B2710935F640/FallingSchoolRolls</w:t>
      </w:r>
    </w:p>
    <w:p/>
    <w:p>
      <w:r>
        <w:rPr>
          <w:b/>
          <w:color w:val="1A4A6E"/>
          <w:sz w:val="22"/>
        </w:rPr>
        <w:t>Dame Meg Hillier (Lab/Co-op)</w:t>
      </w:r>
    </w:p>
    <w:p>
      <w:r>
        <w:rPr>
          <w:sz w:val="22"/>
        </w:rPr>
        <w:t>8. What steps she is taking to support schools with falling rolls.</w:t>
      </w:r>
    </w:p>
    <w:p/>
    <w:p>
      <w:r>
        <w:rPr>
          <w:b/>
          <w:color w:val="1A4A6E"/>
          <w:sz w:val="22"/>
        </w:rPr>
        <w:t>Bridget Phillipson (The Secretary of State for Education)</w:t>
      </w:r>
    </w:p>
    <w:p>
      <w:r>
        <w:rPr>
          <w:sz w:val="22"/>
        </w:rPr>
        <w:t>The Department is working with schools to plan ahead and organise appropriately for changing demographics. Falling rolls funding is available to local authorities, and more widely we are looking creatively at how we can turn extra space in schools into an opportunity, including through opening up Best Start school-based nurseries to make childcare more accessible and affordable.</w:t>
      </w:r>
    </w:p>
    <w:p/>
    <w:p>
      <w:r>
        <w:rPr>
          <w:b/>
          <w:color w:val="1A4A6E"/>
          <w:sz w:val="22"/>
        </w:rPr>
        <w:t>Dame Meg Hillier</w:t>
      </w:r>
    </w:p>
    <w:p>
      <w:r>
        <w:rPr>
          <w:sz w:val="22"/>
        </w:rPr>
        <w:t>Some of my borough’s schools are among the top 1% in the country, but we have a forecast drop of 6.1% for reception and 8.3% for year 7 over the next three years. The picture is poor across London, but Hackney is one of the worst-affected boroughs. Given the patchwork of local schools, with academies, free schools, which fall under the Secretary of State’s remit, and voluntary aided and maintained schools, how will we ensure that the school communities and families work together across our capital and across the country?</w:t>
      </w:r>
    </w:p>
    <w:p/>
    <w:p>
      <w:r>
        <w:rPr>
          <w:b/>
          <w:color w:val="1A4A6E"/>
          <w:sz w:val="22"/>
        </w:rPr>
        <w:t>Bridget Phillipson</w:t>
      </w:r>
    </w:p>
    <w:p>
      <w:r>
        <w:rPr>
          <w:sz w:val="22"/>
        </w:rPr>
        <w:t>I would be more than happy to discuss further the particular local challenges that my right hon. Friend is experiencing. We are aware of the impact of falling rolls on schools, and we are working with councils, including those in London, to develop a framework to help them manage it. Our aim is to make sure that our schools estate is more resilient and flexible in response to changing local demand, and our Best Start school-based nurseries and new SEND inclusion bases are a great example of that. I know that it is often housing pressures on communities such as hers that cause particular challenges. I am therefore delighted that this Government are investing a record £39 billion to kick-start social and affordable house building, which will make a real difference in Hackney, in London and right across the country.</w:t>
      </w:r>
    </w:p>
    <w:p/>
    <w:p>
      <w:r>
        <w:rPr>
          <w:b/>
          <w:color w:val="1A4A6E"/>
          <w:sz w:val="22"/>
        </w:rPr>
        <w:t>Damian Hinds (Con)</w:t>
      </w:r>
    </w:p>
    <w:p>
      <w:r>
        <w:rPr>
          <w:sz w:val="22"/>
        </w:rPr>
        <w:t>It is true that the effects of the falling birth rate have been felt most so far in places such as Hackney, but it is coming to many more places, and the effect will be felt in a much more magnified way, particularly in small rural schools. Does the Secretary of State accept that the funding formula will have to change away from being so heavily reliant on a per capita amount, so as to support our small rural schools?</w:t>
      </w:r>
    </w:p>
    <w:p/>
    <w:p>
      <w:r>
        <w:rPr>
          <w:b/>
          <w:color w:val="1A4A6E"/>
          <w:sz w:val="22"/>
        </w:rPr>
        <w:t>Bridget Phillipson</w:t>
      </w:r>
    </w:p>
    <w:p>
      <w:r>
        <w:rPr>
          <w:sz w:val="22"/>
        </w:rPr>
        <w:t>The right hon. Gentleman is right in saying that while falling rolls present a particularly pronounced challenge in London, we are seeing the issue right across the country. We will work with the sector to develop a framework for the use of mainstream school space, including pressures such as demographic change, and we intend to publish that in the autumn. I note the point that he makes about small rural schools. We want to make sure that those schools can support their local communities, and we will keep under review all the funding that we operate to ensure that that is a reality.</w:t>
      </w:r>
    </w:p>
    <w:p/>
    <w:p>
      <w:r>
        <w:rPr>
          <w:b/>
          <w:color w:val="1A4A6E"/>
          <w:sz w:val="22"/>
        </w:rPr>
        <w:t>Speaker</w:t>
      </w:r>
    </w:p>
    <w:p>
      <w:r>
        <w:rPr>
          <w:sz w:val="22"/>
        </w:rPr>
        <w:t>I call the shadow Minister—welcome to the Front Bench.</w:t>
      </w:r>
    </w:p>
    <w:p/>
    <w:p>
      <w:r>
        <w:rPr>
          <w:b/>
          <w:color w:val="1A4A6E"/>
          <w:sz w:val="22"/>
        </w:rPr>
        <w:t>Sir Ashley Fox (Con)</w:t>
      </w:r>
    </w:p>
    <w:p>
      <w:r>
        <w:rPr>
          <w:sz w:val="22"/>
        </w:rPr>
        <w:t>Thank you, Mr Speaker. One reason for improved academic standards in our schools under the last Government was the ability for good schools to expand and for failing schools to be put under new leadership. How will the Secretary of State ensure that underachieving schools with falling numbers are transformed with new and rigorous leadership, rather than conscripting unwilling parents to send their children to them?</w:t>
      </w:r>
    </w:p>
    <w:p/>
    <w:p>
      <w:r>
        <w:rPr>
          <w:b/>
          <w:color w:val="1A4A6E"/>
          <w:sz w:val="22"/>
        </w:rPr>
        <w:t>Bridget Phillipson</w:t>
      </w:r>
    </w:p>
    <w:p>
      <w:r>
        <w:rPr>
          <w:sz w:val="22"/>
        </w:rPr>
        <w:t>I do not recognise the characterisation offered by the hon. Gentleman. He will know that through the Children’s Wellbeing and Schools Bill, we are making changes that will allow local authorities and local areas to manage school places within their communities better, especially where we are seeing demographic change. Let me add that far too many schools were not serving children well—that was a situation that we inherited—but we are being taking firmer and swifter action to support those schools through our regional improvement for standards and excellence initiative. We cannot wait for late-stage failure before we go in and make change happen. Children and families deserve much more than that, and they deserve much better than the failed approach of the party opposite.</w:t>
      </w:r>
    </w:p>
    <w:p/>
    <w:p>
      <w:r>
        <w:rPr>
          <w:b/>
          <w:color w:val="1A4A6E"/>
          <w:sz w:val="22"/>
        </w:rPr>
        <w:t>Speaker</w:t>
      </w:r>
    </w:p>
    <w:p>
      <w:r>
        <w:rPr>
          <w:sz w:val="22"/>
        </w:rPr>
        <w:t>I call the Liberal Democrat spokesperson.</w:t>
      </w:r>
    </w:p>
    <w:p/>
    <w:p>
      <w:r>
        <w:rPr>
          <w:b/>
          <w:color w:val="1A4A6E"/>
          <w:sz w:val="22"/>
        </w:rPr>
        <w:t>Munira Wilson (LD)</w:t>
      </w:r>
    </w:p>
    <w:p>
      <w:r>
        <w:rPr>
          <w:sz w:val="22"/>
        </w:rPr>
        <w:t>With falling school rolls in Twickenham, across London and in other parts of the country, school budgets are coming under increasing pressure that is compounded by the underfunding of teachers’ pay rises, breakfast clubs and free school meals. Data from the House of Commons Library predicts a £4.4 billion black hole in funding for teachers’ pay rises alone over the next three years, and there is no way in which “productivity savings” can bridge that gap. Will the Secretary of State commit herself to funding those rises fully, so that headteachers are not forced to cut the number of support staff and extracurricular activities that are so important to children’s education and wellbeing?</w:t>
      </w:r>
    </w:p>
    <w:p/>
    <w:p>
      <w:r>
        <w:rPr>
          <w:b/>
          <w:color w:val="1A4A6E"/>
          <w:sz w:val="22"/>
        </w:rPr>
        <w:t>Bridget Phillipson</w:t>
      </w:r>
    </w:p>
    <w:p>
      <w:r>
        <w:rPr>
          <w:sz w:val="22"/>
        </w:rPr>
        <w:t>I am pleased that we have been able to give teachers the pay rises that they deserve, because they play an enormous role. We know it is teaching quality that makes the biggest difference to children’s life chances. We are investing record sums in our schools, investing record sums in capital, and ensuring that we have school places.</w:t>
      </w:r>
    </w:p>
    <w:p>
      <w:r>
        <w:rPr>
          <w:sz w:val="22"/>
        </w:rPr>
        <w:t>I disagree with the hon. Lady about our new breakfast clubs, which are being rolled out across the country—more opened just last week—and which are being well received by parents, teachers and heads. I invite her to go and visit one, and see for herself the transformation that it is driving.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