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Credit Institutions and Investment Firms (Miscellaneous Definitions) (Amendment) Regulations 2026</w:t>
      </w:r>
    </w:p>
    <w:p>
      <w:r>
        <w:rPr>
          <w:sz w:val="20"/>
        </w:rPr>
        <w:t>20 April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Finance and taxation</w:t>
      </w:r>
    </w:p>
    <w:p>
      <w:r>
        <w:rPr>
          <w:b/>
        </w:rPr>
        <w:t xml:space="preserve">Topics: </w:t>
      </w:r>
      <w:r>
        <w:rPr>
          <w:sz w:val="20"/>
        </w:rPr>
        <w:t>amendment regulations, credit institution definitions, investment firm definitions, market risk transitional provision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https://hansard.parliament.uk/Lords/2026-04-20/debates/075A58C8-FC83-4383-B2BF-61B80932C619/CreditInstitutionsAndInvestmentFirmsMiscellaneousDefinitionsAmendmentRegulations2026</w:t>
      </w:r>
    </w:p>
    <w:p/>
    <w:p>
      <w:r>
        <w:rPr>
          <w:b/>
          <w:color w:val="1A4A6E"/>
          <w:sz w:val="22"/>
        </w:rPr>
        <w:t>Lord Livermore</w:t>
      </w:r>
    </w:p>
    <w:p>
      <w:r>
        <w:rPr>
          <w:sz w:val="22"/>
        </w:rPr>
        <w:t>That the draft Regulations laid before the House on 4 March be approved. Considered in Grand Committee on 15 April.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