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Building Safety (Responsible Actors Scheme and Prohibitions) (Amendment) Regulations 2026</w:t>
      </w:r>
    </w:p>
    <w:p>
      <w:r>
        <w:rPr>
          <w:sz w:val="20"/>
        </w:rPr>
        <w:t>20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Housing and planning</w:t>
      </w:r>
    </w:p>
    <w:p>
      <w:r>
        <w:rPr>
          <w:b/>
        </w:rPr>
        <w:t xml:space="preserve">Topics: </w:t>
      </w:r>
      <w:r>
        <w:rPr>
          <w:sz w:val="20"/>
        </w:rPr>
        <w:t>building safety regulations, prohibitions amendment, responsible actors scheme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https://hansard.parliament.uk/Lords/2026-04-20/debates/B429FD4C-06E0-44BF-A2FC-B58E65A695A6/BuildingSafetyResponsibleActorsSchemeAndProhibitionsAmendmentRegulations2026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10 and 25 February be approved. Relevant document: 54th Report from the Secondary Legislation Scrutiny Committee. Considered in Grand Committee on 15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