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Aviation Safety (Amendment)  Regulations 2026</w:t>
      </w:r>
    </w:p>
    <w:p>
      <w:r>
        <w:rPr>
          <w:sz w:val="20"/>
        </w:rPr>
        <w:t>20 April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Transport</w:t>
      </w:r>
    </w:p>
    <w:p>
      <w:r>
        <w:rPr>
          <w:b/>
        </w:rPr>
        <w:t xml:space="preserve">Topics: </w:t>
      </w:r>
      <w:r>
        <w:rPr>
          <w:sz w:val="20"/>
        </w:rPr>
        <w:t>aviation safety regulations, draft regulations approval, secondary legislation scrutiny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https://hansard.parliament.uk/Lords/2026-04-20/debates/AC5DD8D4-CB60-4744-AA94-BABD5B6DE18C/AviationSafetyAmendmentRegulations2026</w:t>
      </w:r>
    </w:p>
    <w:p/>
    <w:p>
      <w:r>
        <w:rPr>
          <w:b/>
          <w:color w:val="1A4A6E"/>
          <w:sz w:val="22"/>
        </w:rPr>
        <w:t>Lord Hendy of Richmond Hill</w:t>
      </w:r>
    </w:p>
    <w:p>
      <w:r>
        <w:rPr>
          <w:sz w:val="22"/>
        </w:rPr>
        <w:t>That the draft Regulations laid before the House on 24 February be approved. Relevant document: 54th Report from the Secondary Legislation Scrutiny Committee. Considered in Grand Committee on 15 April.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